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eastAsia="Times New Roman" w:cs="Times New Roman"/>
          <w:color w:val="000000" w:themeColor="text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0860" cy="665480"/>
                <wp:effectExtent l="0" t="0" r="0" b="0"/>
                <wp:docPr id="1" name="_x005F_x0000_i2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5214072" name="_x005F_x0000_i205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extLs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30859" cy="6654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.80pt;height:52.4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</w:r>
    </w:p>
    <w:p>
      <w:pPr>
        <w:pStyle w:val="830"/>
        <w:jc w:val="center"/>
        <w:rPr>
          <w:rFonts w:ascii="Times New Roman" w:hAnsi="Times New Roman" w:cs="Times New Roman"/>
          <w:color w:val="000000" w:themeColor="text1"/>
          <w:spacing w:val="50"/>
          <w:sz w:val="32"/>
          <w:szCs w:val="32"/>
          <w:shd w:val="clear" w:color="auto" w:fill="ffff00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36"/>
          <w:szCs w:val="36"/>
        </w:rPr>
        <w:t xml:space="preserve">Пермская городская Дума</w:t>
      </w:r>
      <w:r>
        <w:rPr>
          <w:rFonts w:ascii="Times New Roman" w:hAnsi="Times New Roman" w:cs="Times New Roman"/>
          <w:color w:val="000000" w:themeColor="text1"/>
          <w:spacing w:val="50"/>
          <w:sz w:val="32"/>
          <w:szCs w:val="32"/>
          <w:shd w:val="clear" w:color="auto" w:fill="ffff00"/>
        </w:rPr>
      </w:r>
      <w:r>
        <w:rPr>
          <w:rFonts w:ascii="Times New Roman" w:hAnsi="Times New Roman" w:cs="Times New Roman"/>
          <w:color w:val="000000" w:themeColor="text1"/>
          <w:spacing w:val="50"/>
          <w:sz w:val="32"/>
          <w:szCs w:val="32"/>
          <w:shd w:val="clear" w:color="auto" w:fill="ffff00"/>
        </w:rPr>
      </w:r>
    </w:p>
    <w:p>
      <w:pPr>
        <w:pStyle w:val="830"/>
        <w:jc w:val="center"/>
        <w:rPr>
          <w:rFonts w:ascii="Times New Roman" w:hAnsi="Times New Roman" w:cs="Times New Roman"/>
          <w:color w:val="000000" w:themeColor="text1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 w:themeColor="text1"/>
          <w:spacing w:val="50"/>
          <w:sz w:val="32"/>
          <w:szCs w:val="32"/>
          <w:shd w:val="clear" w:color="auto" w:fill="auto"/>
        </w:rPr>
        <w:t xml:space="preserve">РЕШЕНИЕ</w:t>
      </w:r>
      <w:r>
        <w:rPr>
          <w:rFonts w:ascii="Times New Roman" w:hAnsi="Times New Roman" w:cs="Times New Roman"/>
          <w:color w:val="000000" w:themeColor="text1"/>
          <w:highlight w:val="none"/>
          <w:shd w:val="clear" w:color="auto" w:fill="auto"/>
        </w:rPr>
      </w:r>
      <w:r>
        <w:rPr>
          <w:rFonts w:ascii="Times New Roman" w:hAnsi="Times New Roman" w:cs="Times New Roman"/>
          <w:color w:val="000000" w:themeColor="text1"/>
          <w:highlight w:val="none"/>
          <w:shd w:val="clear" w:color="auto" w:fill="auto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color w:val="000000" w:themeColor="text1"/>
          <w:spacing w:val="50"/>
          <w:sz w:val="24"/>
          <w:szCs w:val="24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</w:rPr>
        <w:t xml:space="preserve">19.12.2023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</w:rPr>
        <w:t xml:space="preserve">                                                                                                  №265</w:t>
      </w:r>
      <w:r>
        <w:rPr>
          <w:rFonts w:ascii="Times New Roman" w:hAnsi="Times New Roman" w:cs="Times New Roman"/>
          <w:color w:val="000000" w:themeColor="text1"/>
          <w:spacing w:val="50"/>
          <w:sz w:val="24"/>
          <w:szCs w:val="24"/>
          <w:highlight w:val="none"/>
          <w:shd w:val="clear" w:color="auto" w:fill="auto"/>
        </w:rPr>
      </w:r>
    </w:p>
    <w:p>
      <w:pPr>
        <w:pStyle w:val="838"/>
        <w:ind w:left="0" w:right="0" w:firstLine="0"/>
        <w:jc w:val="center"/>
        <w:spacing w:before="480" w:after="0"/>
        <w:rPr>
          <w:color w:val="000000" w:themeColor="text1"/>
          <w:highlight w:val="none"/>
          <w:shd w:val="clear" w:color="auto" w:fill="auto"/>
        </w:rPr>
      </w:pPr>
      <w:r>
        <w:rPr>
          <w:b/>
          <w:color w:val="000000" w:themeColor="text1"/>
          <w:sz w:val="28"/>
          <w:szCs w:val="28"/>
          <w:shd w:val="clear" w:color="auto" w:fill="auto"/>
        </w:rPr>
        <w:t xml:space="preserve">Решение Пермской городской Думы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38"/>
        <w:ind w:left="0" w:right="0" w:firstLine="0"/>
        <w:jc w:val="center"/>
        <w:spacing w:before="0" w:after="0"/>
        <w:rPr>
          <w:color w:val="000000" w:themeColor="text1"/>
          <w:highlight w:val="none"/>
          <w:shd w:val="clear" w:color="auto" w:fill="auto"/>
        </w:rPr>
      </w:pPr>
      <w:r>
        <w:rPr>
          <w:b/>
          <w:color w:val="000000" w:themeColor="text1"/>
          <w:sz w:val="28"/>
          <w:szCs w:val="28"/>
          <w:shd w:val="clear" w:color="auto" w:fill="auto"/>
        </w:rPr>
        <w:t xml:space="preserve">от 19.12.2023 № 265 </w:t>
      </w:r>
      <w:r>
        <w:rPr>
          <w:b/>
          <w:bCs/>
          <w:color w:val="000000" w:themeColor="text1"/>
          <w:sz w:val="28"/>
          <w:szCs w:val="28"/>
          <w:shd w:val="clear" w:color="auto" w:fill="auto"/>
        </w:rPr>
        <w:t xml:space="preserve">«О бюджете города Перми на 2024 год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38"/>
        <w:ind w:left="0" w:right="0" w:firstLine="0"/>
        <w:jc w:val="center"/>
        <w:spacing w:before="0" w:after="0"/>
        <w:rPr>
          <w:color w:val="000000" w:themeColor="text1"/>
          <w:highlight w:val="none"/>
          <w:shd w:val="clear" w:color="auto" w:fill="auto"/>
        </w:rPr>
      </w:pPr>
      <w:r>
        <w:rPr>
          <w:b/>
          <w:bCs/>
          <w:color w:val="000000" w:themeColor="text1"/>
          <w:sz w:val="28"/>
          <w:szCs w:val="28"/>
          <w:shd w:val="clear" w:color="auto" w:fill="auto"/>
        </w:rPr>
        <w:t xml:space="preserve">и на плановый период 2025 и 2026 годов»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36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392c69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  <w:t xml:space="preserve">(в ред. решений Пермской городской Думы от 27.02.2024 № 22,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392c69" w:themeColor="text1"/>
          <w:sz w:val="24"/>
        </w:rPr>
      </w:r>
    </w:p>
    <w:p>
      <w:pPr>
        <w:pStyle w:val="836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392c69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  <w:t xml:space="preserve">от 26.03.2024 № 52, от 23.04.2024 № 69, от 25.06.2024 № 103,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392c69" w:themeColor="text1"/>
          <w:sz w:val="24"/>
        </w:rPr>
      </w:r>
    </w:p>
    <w:p>
      <w:pPr>
        <w:pStyle w:val="836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392c69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  <w:t xml:space="preserve">от 27.08.2024 № 133, от 24.09.2024 № 154, от 22.10.2024 № 174,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392c69" w:themeColor="text1"/>
          <w:sz w:val="24"/>
        </w:rPr>
      </w:r>
    </w:p>
    <w:p>
      <w:pPr>
        <w:pStyle w:val="839"/>
        <w:jc w:val="center"/>
        <w:widowControl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auto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</w:rPr>
        <w:t xml:space="preserve">от 19.11.2024 № 200, от 17.12.2024 № 219)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auto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auto"/>
        </w:rPr>
      </w:r>
    </w:p>
    <w:p>
      <w:pPr>
        <w:pStyle w:val="839"/>
        <w:jc w:val="center"/>
        <w:widowControl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aut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auto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auto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auto"/>
        </w:rPr>
      </w:r>
    </w:p>
    <w:p>
      <w:pPr>
        <w:pStyle w:val="839"/>
        <w:jc w:val="center"/>
        <w:widowControl/>
        <w:rPr>
          <w:color w:val="000000" w:themeColor="text1"/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auto"/>
        </w:rPr>
        <w:t xml:space="preserve">Пермская городская Дума </w:t>
      </w:r>
      <w:r>
        <w:rPr>
          <w:rFonts w:ascii="Times New Roman" w:hAnsi="Times New Roman" w:cs="Times New Roman"/>
          <w:b/>
          <w:color w:val="000000" w:themeColor="text1"/>
          <w:spacing w:val="50"/>
          <w:sz w:val="28"/>
          <w:szCs w:val="28"/>
          <w:highlight w:val="none"/>
          <w:shd w:val="clear" w:color="auto" w:fill="auto"/>
        </w:rPr>
        <w:t xml:space="preserve">решила: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3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1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Утвердить основные характеристики бюджета города Перми (далее - бюджет города) на 2024 год: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1.1. прогнозируемый общий объем доходов бюджета города в сумме 55565266,083 тыс. руб.;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1.2. общий объем расходов бюджета города в сумме 55591982,703 тыс. руб.;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1.3. дефицит бюджета города в сумме 26716,620 тыс. руб.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Утвердить основные характеристики бюджета города на 2025 год и на 2026 год: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2.1. прогнозируемый общий объем доходов бюджета города на 2025 год в сумме 52979071,749 тыс. руб. и на 2026 год в сумме 52905120,700 тыс. руб.;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2.2. общий объем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расходов бюджета города на 2025 год в сумме 52987514,188 тыс. руб., в том числе условно утвержденные расходы в сумме 841930,732 тыс. руб., и на 2026 год в сумме 52314258,900 тыс. руб., в том числе условно утвержденные расходы в сумме 1382270,069 тыс. руб.;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2.3. дефицит бюджета города на 2025 год в сумме 8442,439 тыс. руб., профицит бюджета города на 2026 год в сумме 590861,800 тыс. руб.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2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Установить, что в бюджет города зачисляются доходы по нормативам, установленным бюджетным законодательством Российской Федерации, Пермского края.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Установить, что муниципальные предприятия города Перми ежегодно перечисляют в доход бюджета города 50% прибыли, остающейся после уплаты налогов и иных обязательных платежей, до 15 апреля текущего года.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Объем средств, подлежащий перечислению в бюджет города, исчисляется указанными предприятиями на основании показателей бухгалтерской отчетности предприятия за отчетный финансовый год.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4"/>
          <w:szCs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 Установить, что муниципальные предприятия города Перми вправе перечислить в доход бюджета города часть неиспользованной прибыли прошлых лет.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3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Утвердить распределение доходов бюджета города по кодам поступлений в бюджет (группам, подгруппам, статьям классификации доходов бюджета) на 2024 год и на плановый период 2025 и 2026 годов согласно приложению 1 к настоящему решению.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В случае изменения перечня главных администраторов доходов бюджета города, а 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акже состава закрепленных за ними кодов классификации доходов бюджета финансовый орган города Перми (далее - финансовый орган) уведомляет Контрольно-счетную палату города Перми о внесенных изменениях в целях текущего контроля за исполнением бюджета города.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4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Утвердить распределение бюджетных ассигнований по целевым статьям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согласно приложению 2 к настоящему решению.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Утвердить ведомственную структуру расходов бюджета города на 2024 год и на плановый период 2025 и 2026 годов согласно приложению 3 к настоящему решению.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Утвердить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на 2024 год и на плановый период 2025 и 2026 годов согласно приложению 4 к настоящему решению.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 Администрации города Перми производить расходование средств на реализацию муниципальных программ, средств в объекты капитального строительства муниципальной собственности и на приобретение объектов недвижимого имущества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в муниципальную собственность, на предоставление субсидий из бюджета города при условии утверждения (внесения изменений) муниципальных программ (в муниципальные программы), инвестиционных проектов, порядков предоставления субсидий в установленном порядке.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5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Утвердить объем резервного фонда администрации города Перми на 2024 год в сумме 327525,207 тыс. руб., на 2025 год в сумме 28852,200 тыс. руб., на 2026 год в сумме 28852,200 тыс. руб.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Утвердить общий объем бюджетных ассигнований на исполнение публичных нормативных обязательств города Перми на 2024 год в сумме 163838,465 тыс. руб., на 2025 год в сумме 171410,7 тыс. руб., на 2026 год в сумме 171410,7 тыс. руб., в том числе: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2.1. на выплаты стипендий Главы города Перми - гла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вы администрации города Перми "Спортивные надежды" юным спортсменам города, победителям и призерам всероссийских и международных соревнований: на 2024 год в сумме 2850,0 тыс. руб., на 2025 год в сумме 2478,0 тыс. руб., на 2026 год в сумме 2478,0 тыс. руб.;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2.2. на ежемесячные денежные выплаты за проезд в медицинские организации, осуществляющие свою деятельность на территории города Перми, для проведения амбулато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рного гемодиализа гражданам, постоянно или преимущественно проживающим на территории города Перми, с хронической почечной недостаточностью: на 2024 год в сумме 11791,0 тыс. руб., на 2025 год в сумме 11791,0 тыс. руб., на 2026 год в сумме 11791,0 тыс. руб.;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2.3. на ежемесячные денежные выплаты одному из родителей (законных представителей), являющихся студентами или учащимися, постоянно, преимущественно или временно проживающих на территории города Перми, обучающихся по очной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форме в профессиональных образовательных организациях, образовательных организациях высшего образования, имеющих детей в возрасте до 1,5 лет: на 2024 год в сумме 3011,24 тыс. руб., на 2025 год в сумме 2346,0 тыс. руб., на 2026 год в сумме 2346,0 тыс. руб.;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2.4. на дополнительные меры социальной поддержки одного из родителей в случае рождения троих или более детей одновременно: на 2024 год в сумме 1149,425 тыс. руб., на 2025 год в сумме 4597,7 тыс. руб., на 2026 год в сумме 4597,7 тыс. руб.;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2.5. на выплаты премии Главы города Перми "Золотой резерв" талантливым и одаренным обучающимся общеобразовательных организа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ций города Перми, осуществляющих образовательную деятельность по имеющим государственную аккредитацию основным общеобразовательным программам: на 2024 год в сумме 2873,6 тыс. руб., на 2025 год в сумме 2873,6 тыс. руб., на 2026 год в сумме 2873,6 тыс. руб.;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2.6. на выплаты пенсии за выслугу лет лицам, замещавшим муниципальные должно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сти (в т.ч. выборные муниципальные должности), муниципальные должности муниципальной службы, должности муниципальной службы города Перми: на 2024 год в сумме 142163,2 тыс. руб., на 2025 год в сумме 147324,4 тыс. руб., на 2026 год в сумме 147324,4 тыс. руб.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  <w:lang w:eastAsia="zh-CN"/>
        </w:rPr>
        <w:t xml:space="preserve">Утвердить объем бюджетных ассигнований дорожного фонда города Перми на 2024 год в сумме 6 193 717,227 тыс. руб., на 2025 год в сумме </w:t>
      </w:r>
      <w:r>
        <w:rPr>
          <w:color w:val="000000" w:themeColor="text1"/>
          <w:sz w:val="28"/>
          <w:szCs w:val="28"/>
          <w:lang w:eastAsia="zh-CN"/>
        </w:rPr>
        <w:t xml:space="preserve">6 246 865,652 тыс. руб., на 2026 год в сумме 6 003 752,289 тыс. руб., в том числе средства федерального бюджета на 2024 год в сумме 201 775</w:t>
      </w:r>
      <w:r>
        <w:rPr>
          <w:color w:val="000000" w:themeColor="text1"/>
          <w:sz w:val="28"/>
          <w:szCs w:val="28"/>
          <w:lang w:eastAsia="zh-CN"/>
        </w:rPr>
        <w:t xml:space="preserve">,700 тыс. руб., на </w:t>
      </w:r>
      <w:r>
        <w:rPr>
          <w:color w:val="000000" w:themeColor="text1"/>
          <w:sz w:val="28"/>
          <w:szCs w:val="28"/>
          <w:lang w:eastAsia="zh-CN"/>
        </w:rPr>
        <w:t xml:space="preserve">2025 год в сумме 37 459,300 тыс. руб., сре</w:t>
      </w:r>
      <w:r>
        <w:rPr>
          <w:color w:val="000000" w:themeColor="text1"/>
          <w:sz w:val="28"/>
          <w:szCs w:val="28"/>
          <w:lang w:eastAsia="zh-CN"/>
        </w:rPr>
        <w:t xml:space="preserve">дства бюджета Пермского края на </w:t>
      </w:r>
      <w:r>
        <w:rPr>
          <w:color w:val="000000" w:themeColor="text1"/>
          <w:sz w:val="28"/>
          <w:szCs w:val="28"/>
          <w:lang w:eastAsia="zh-CN"/>
        </w:rPr>
        <w:t xml:space="preserve">2024 год в сумме 1 095 752,400 тыс. руб., на 20</w:t>
      </w:r>
      <w:r>
        <w:rPr>
          <w:color w:val="000000" w:themeColor="text1"/>
          <w:sz w:val="28"/>
          <w:szCs w:val="28"/>
          <w:lang w:eastAsia="zh-CN"/>
        </w:rPr>
        <w:t xml:space="preserve">25 год в сумме 978 905,700</w:t>
      </w:r>
      <w:r>
        <w:rPr>
          <w:color w:val="000000" w:themeColor="text1"/>
          <w:sz w:val="28"/>
          <w:szCs w:val="28"/>
          <w:lang w:eastAsia="zh-CN"/>
        </w:rPr>
        <w:t xml:space="preserve"> тыс. </w:t>
      </w:r>
      <w:r>
        <w:rPr>
          <w:color w:val="000000" w:themeColor="text1"/>
          <w:sz w:val="28"/>
          <w:szCs w:val="28"/>
          <w:lang w:eastAsia="zh-CN"/>
        </w:rPr>
        <w:t xml:space="preserve">руб., на 2026 год в сумме 976 934,100 тыс. руб.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 Утвердить общий объем межбюджетных трансфертов, поступающих в бюджет города из бюджета Пермского края, в 2024 году в сумме 22103310,750 тыс. руб., в 2025 году в сумме 19610693,649 тыс. руб., в 2026 году в сумме 17420280,100 тыс. руб.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 Предусмотреть в расходах бюджета города средства на: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увеличение размеров денежных норм по бесплатному питанию учащихся в муниципальных общеобразовательных организациях, частных общеобразовательных организациях с 01.01.2024 на 4,9%,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индексацию ежегодной денежной выплаты почетным гражданам города Перми с 01.01.2024 на 4,9%,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индексацию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ежемесячных надбавок к заработной плате педагогическим работникам муниципальных образовательных учреждений в сфере образования, культуры, физической культуры и спорта, не финансируемых за счет субвенций из бюджета Пермского края, предусмотренных в подпункт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е 2.1.2, пунктах 2.2, 2.4, 2.5 Положения о мерах социальной поддержки руководителей и педагогических работников муниципальных образовательных учреждений города Перми, утвержденного решением Пермской городской Думы от 25.09.2007 № 226, с 01.01.2024 на 4,9%,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увеличение фонда оплаты труда работников муниципальных учреждений с учетом необходимости обеспечения уровня целевых показателей, установленных указами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Президента Российской Федерации от 07.05.2012 № 597, от 01.06.2012 № 761 в отношении следующих категорий работников: педагогические работники муниципальных учреждений дополнительного образования детей, работники культуры муниципальных учреждений культуры,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увеличение размера ежемесячных денежных выплат одному из родителей (законных представителей), являющихся студентами или учащимися, постоянн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о, преимущественно или временно проживающих на территории города Перми, обучающихся по очной форме в профессиональных образовательных организациях, образовательных организациях высшего образования, имеющих детей в возрасте до 1,5 лет, с 01.01.2024 на 4,9%,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увеличение размера ежемесячных денежных выплат за проезд в медицинские 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рганизации, осуществляющие свою деятельность на территории города Перми, для проведения амбулаторного гемодиализа гражданам, постоянно или преимущественно проживающим на территории города Перми, с хронической почечной недостаточностью с 01.01.2024 на 4,9%,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индексацию фонда оплаты труда (денежного содержания) работников муниципальных учреждений, муниципальных служащих города Перм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и, помощников депутатов Пермской городской Думы, лиц, замещающих муниципальные должности и осуществляющих свои полномочия на постоянной основе, а также работников, занимающих должности, не отнесенные к должностям муниципальной службы, и осуществляющих техн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ическое обеспечение органов местного самоуправления, выплат компенсации расходов, связанных с осуществлением полномочий депутатов Пермской городской Думы, пенсий за выслугу лет лицам, замещавшим муниципальные должности (в т.ч. выборные муниципальные должно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сти), муниципальные должности муниципальной службы, должности муниципальной службы города Перми, с 01.10.2024 на 4,9%, за исключением работников муниципальных учреждений, для которых настоящей статьей установлены иные размеры увеличения фонда оплаты труда.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6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Утвердить на 2024 год и на плановый период 2025 и 2026 годов источники финансирования дефицита бюджета города согласно приложению 5 к настоящему решению.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Утвердить на 2024 год и на плановый период 2025 и 2026 годов программу муниципальных внутренних заимствований города Перми согласно приложению 6 к настоящему решению.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 Утвердить на 2024 год и на плановый период 2025 и 2026 годов программу муниципальных гарантий города Перми согласно приложению 7 к настоящему решению.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Утвердить объем бюджетных ассигнований на исполнение муниципальных гарантий города Перми по возможным гарантийным случаям на 2024 год в сумме 0,0 тыс. руб., на 2025 год в сумме 0,0 тыс. руб., на 2026 год в сумме 0,0 тыс. руб.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 В случае изменения перечня главных администраторов источников финансирования дефицита бюджет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 города, а также состава закрепленных за ними кодов классификации источников финансирования дефицита бюджета финансовый орган уведомляет Контрольно-счетную палату города Перми о внесенных изменениях в целях текущего контроля за исполнением бюджета города.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 Установить верхний предел муниципального долга города Перми: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1) на 01.01.2025 в сумме 2778404,0 тыс. руб., в том числе верхний предел долга по муниципальным гарантиям города Перми в сумме 0,0 тыс. руб.,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2) на 01.01.2026 в сумме 2568404,0 тыс. руб., в том числе верхний предел долга по муниципальным гарантиям города Перми в сумме 0,0 тыс. руб.,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3) на 01.01.2027 в сумме 1977542,2 тыс. руб., в том числе верхний предел долга по муниципальным гарантиям города Перми в сумме 0,0 тыс. руб.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7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Установить, что муниципальные заказчики (заказчики) при заключении муниципальных контрактов (договоров) на поставку товаров, выполнение работ, оказание услуг (далее в настоящем пункте - контракт), а также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иные юридические лица в соответствии с частью 5 статьи 15 Федерального закона от 05.04.2013 № 44-ФЗ "О контрактной системе в сфере закупок товаров, работ, услуг для обеспечения государственных и муниципальных нужд" вправе предусматривать авансовые платежи: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в размере до 100% суммы контракта - по контрактам на поставку и подписку на печатные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издания, на поставку горюче-смазочных материалов, на оказание услуг всех видов связи, на обучение на курсах повышения квалификации и семинарах, на приобретение путевок, авиа- и железнодорожных билетов, на оплату регистрационных сборов за участие официальны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х делегаций города Перми в мероприятиях регионального, федерального и международного значения, на оплату найма жилых помещений, по контрактам страхования, а также по контрактам, заключенным в соответствии с пунктами 4, 5, 6, 9, 13, 14, 15 части 1 статьи 93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в иных случаях в соответствии с нормативными правовыми актами Правительства Российской Федерации,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в размере до 30% суммы контракта на выполнение работ по строительству, реконструкции и капитальному ремонту объектов муниципальной собственности города Перми, заключаемого на сумму 100,0 млн. руб. и более,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в размере до 30% суммы контракта, но не боле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е лимитов бюджетных обязательств, доведенных на соответствующий финансовый год по соответствующим кодам бюджетной классификации расходов бюджета, при условии обоснования необходимости авансовых платежей в порядке, установленном администрацией города Перми.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Установить, что муниципальные бюджетные и автономные учреждения при заключении ими договоров 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 поставку товаров, выполнение работ и оказание услуг в соответствии с Федеральным законом от 18.07.2011 № 223-ФЗ "О закупках товаров, работ, услуг отдельными видами юридических лиц", предусматривающих авансовые платежи, соблюдают положения, установленные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пунктом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настоящей статьи.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 Установить, что в 2024 году в соответствии с подпунктом 1 пункта 1 статьи 242.26 Бюджетного кодекса Российской Федерации казначейскому сопровождению подлежат следующие средства, предоставляемые из бюджета города Перми: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авансовые платежи по муниципальным контрактам на сумму 100,0 млн. руб. и более, указанные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абзацах третьем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четвертом пункта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настоящей статьи,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авансовые платежи по контрактам (договорам), заключенным муниципальными бюджетными и автономными учреждениями на сумму 100,0 млн. руб. и более на выполнение работ по строительству, реконструкции и капитальному ремонту объектов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капитального строительства муниципальной собственности города Перми,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расчеты по муниципальным контрактам на выполнение рабо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т по осуществлению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Перми, заключаемым на сумму 100,0 млн. руб. и более,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авансовые платежи на сумму 30,0 млн. руб. и более по контрактам (договорам) на выполнение работ, оказание услуг, заключаемым исполнителями и соисполнителями в рамках исполнения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абзацах втором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третьем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настоящего пункта муниципальных контрактов (контрактов, договоров).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 Рекомендовать муниципальным автономным учреждениям учитывать средства, полу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ченные от оказания платных услуг, в виде безвозмездных поступлений от физических и юридических лиц, в том числе добровольных пожертвований, а также от иной приносящей доход деятельности, на лицевых счетах, ведение которых осуществляется финансовым органом.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8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Администрации города Перми предоставить право направлять с последующим внес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ением изменений в решение о бюджете города остатки средств бюджета города по состоянию на 01.01.2024, образовавшиеся в связи с неполным использованием получателями средств бюджета лимитов бюджетных обязательств, доведенных на 2023 год, в следующем порядке: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 оплату заключенных контрактов, подлежавших в соответствии с условиями этих контрактов оплате в от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контрактов, в соответствии с требованиями, установленными Бюджетным кодексом Российской Федерации,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 оплату контрактов, зак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люченных в текущем финансовом году по результатам размещения муниципального заказа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контрактов,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 реализацию мероприятий по развитию микрорайонов города Перми, за исключением направлений остатков средств бюджета города,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абзацами вторым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третьим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настоящей статьи, в объеме, не превышающем остатка не использованных на начало текущего финансового года бюджетных ассигнований на реализацию данных мероприятий, - на те же цели в 2024 году в качестве дополнительного источника финансирования.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9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Установить в соответствии с пунктом 3 статьи 217 Бюджетного кодекса Российской Федерации, чт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 основанием для внесения изменений в показатели сводной бюджетной росписи бюджета города без внесения изменений в бюджет города является распределение бюджетных ассигнований, нераспределенных настоящим решением (зарезервированных), в составе утвержденных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статьей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настоящего решения: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бюджетных ассигнований на реализацию мероприятий, направленных на решение отдельных вопросов местного значения в микрорайонах города Перми,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бюджетных ассигнований на проведение мероприятий в рамках реализации проектов инициативного бюджетирования в городе Перми,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бюджетных ассигнований на благоустройство территорий индивидуальной жилой застройки в городе Перми,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бюджетных ассигнований на исполнение судебных актов, вступивших в законную силу.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Установить в соответствии с пункто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м 8 статьи 217 Бюджетного кодекса Российской Федерации следующие основания для внесения изменений в показатели сводной бюджетной росписи бюджета города, связанные с особенностями исполнения бюджета города, без внесения изменений в решение о бюджете города: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ие бюджетных ассигнований между главными распорядителями бюджетных средств на проведение мероприятий в соответствии с нормативными правовыми актами администрации города Перми об утверждении муниципальных программ без изменения целевого направления средств,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принятие администрацией города Перми решений о внесении изменений в решения об осуществлении капитальных вложений в объ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екты муниципальной собственности - в пределах утвержденного объема бюджетных ассигнований на бюджетные инвестиции по главному распорядителю бюджетных средств и перечня объектов бюджетных инвестиций в соответствии с утвержденными муниципальными программами,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изменение численности детей в муниципальных учреждениях различного типа, связанное с закрытием учреждений на капитальный ремонт и, соответственно, корректировкой муниципальных заданий на оказание муниципальных услуг,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перераспределение бюджетных ассигнований, предусмотренных главному распорядителю бюджетных средств, между группами, подгруппами и элементами видов расходов классификации расходов бюджетов,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перераспределение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деятельност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и), группами и подгруппами видов расходов классификации расходов бюджетов в пределах общего объема бюджетных ассигнований, предусмотренного главному распорядителю бюджетных средств на исполнение публичных нормативных обязательств в текущем финансовом году,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перераспределение бюджетных ассигнований в соответствии с пунктом 6.3 статьи 6 Положения о денежном содержании муниципальных служащих города Перми и пункто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м 3 статьи 6 Положения об оплате труда лиц, замещающих муниципальные должности, осуществляющих свои полномочия на постоянной основе, утвержденных решением Пермской городской Думы от 26.12.2006 № 355 "О нормативных актах, регулирующих вопросы оплаты труда л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Перми", между целевыми статьями и видами расходов на обеспечение деятельности органов местного самоуправления,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перераспределение бюджетных ассигнований, предусмотренных решением о бюджете города на фонд оплаты труда и фонд материальных затрат муниципальных служащих г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орода Перми, а также работников администрации города Перми, занимающих должности, не отнесенные к должностям муниципальной службы, между главными распорядителями бюджетных средств в случае принятия соответствующих правовых актов администрации города Перми,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перераспределение бюджетных ассигнований ме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жду основными мероприятиями, мероприятиями (направлениями расходов) муниципальных программ с целью обеспечения достижения плановых значений целевых показателей, установленных указами Президента Российской Федерации от 07.05.2012 № 597, от 01.06.2012 № 761,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направление, а также распределение (перераспределение) межбюджетных трансфертов, имеющих целевое назначение, полученных из бюджета Пермского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края, субъектам (между субъектами) реализации переданных полномочий из числа функциональных органов (функциональных подразделений), территориальных органов администрации города Перми в соответствии с порядками, установленными Правительством Пермского края,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перераспределение бюджетных ассигнований между кодами бюджетной классифик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ации, включая внесение изменений в наименование, при условии получения субсидии из бюджета Пермского края на условиях софинансирования расходов на реализацию мероприятий, включенных в муниципальные программы города Перми, без изменения целевого назначения,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в пределах общего объема единой субвенции на выполнение отдельных государственных полномочий в сфере образования,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перераспределение бюджетных ассигнований между видами источников финансирования дефицита бюджета города Перми,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получение дотаций из бюджета Пермского края,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изменение (уточнение) кодов бюджетной классификации расходов бюджета без изменения целевого назначения средств, вызванное необходимостью: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изменения исполнителей в пределах утвержденного объема бюджетных ассигнований по главному распорядителю бюджетных средств,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приведения кодов бюджетной классификации расходов в соответствие требованиям приказа Министерства финансов Российско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й Федерации от 24.05.2022 № 82н "О Порядке формирования и применения кодов бюджетной классификации Российской Федерации, их структуре и принципах назначения" при внесении изменений в указанный приказ (уточнение кодов разделов, подразделов, видов расходов),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устранения технических ошибок в целях исправления неправильного толкования применения бюджетной классификации расходов при составлении проекта бюджета и внесении изменений в бюджет (уточнение кодов разделов, подразделов, целевых статей, видов расходов).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10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Установить, что за счет средств бюджета города предоставляются субсидии юриди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некоммерческим организациям на безвозмездной и безвозвратной основе в цел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гранты в форме субсидий в случаях, установленных приложением 8 к настоящему решению.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Порядки предоставления субсидий, грантов в форме субсидий устанавливаются администрацией города Перми.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11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Рекомендовать администрации города Перми: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Производить расходование средств бюджета города после утверждения (актуализации) расходных обязательств по следующим направлениям расходов: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1.1. приобретение и оснащение оборудованием, средс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твами обучения и воспитания, мебелью, инвентарем вновь созданных мест для обучающихся для образовательного учреждения "Средняя общеобразовательная школа № 146 с углубленным изучением математики, физики, информатики" г. Перми (здание по ул. Уральской, 110);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1.2. выплаты гражданам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денежного вознаграждения за содействие в выявлении лиц, совершивших административное правонарушение, выражающееся в нанесении на фасад здания, строения, сооружения надписей, графических рисунков и иных изображений вне специально отведенных для этого мест.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До 01.03.2024 привести реестр расходных обязательств города Перми в соответствие требованиям бюджетного законодательства.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 Направить в Пермскую городскую Думу: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3.1. до 01.03.2024 информацию о сметной стоимости по результатам проведе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ния государственной экспертизы достоверности определения сметной стоимости реконструкции здания по ул. Уральской, 110 для размещения общеобразовательной организации г. Перми и при необходимости обеспечить внесение соответствующих изменений в бюджет города;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3.2. до 01.04.2025 информацию о результатах и экономическом эффекте проведения модернизации информационной системы управления землями.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 До 01.07.2024 проработать вопросы: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4.1. выделения средств бюджета города на обустройство объекта озеленения общего пользования в микрорайоне Запруд на земельном участке с кадастровым номером 59:01:4019054:226;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4.2. ранжирования реализации второго этапа обустройства "Умной" спортивной площадки по адресу: ул. Докучаева, 21;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4.3. устранения несоответствия объема расходов бюджета города, запланированного на софинансирование обустройства на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бережной реки Камы от торгового центра "Речник" до территории ООО "Мотовилихинские заводы", объему расходов, предусмотренному постановлением Правительства Пермского края от 25.03.2019 № 224-п "Об утверждении Порядка предоставления, распределения и расходов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ания субсидии из бюджета Пермского края бюджету Пермского городского округа на реализацию мероприятий по развитию городского пространства", с учетом результатов государственной экспертизы по итогам оценки достоверности сметной стоимости указанного объекта.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 Обеспечить обустройство остановочных пунктов, подлежащих приведению в нормативное состояние в соответствии с представлениями Государственной инспекции безопасности дорожного движения и прокуратуры города Перми.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6. До 01.05.2024 учесть замечания и предложения Контрольно-счетной палаты города Перми по вопросу формирования муниципальных программ.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7. Ежегодно не позднее 15 февраля года, следующего за отчетным годом, представлять в Пермскую городскую Думу информацию о результатах разработки за счет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грантов, предоставляемых из бюджета города, в форме субсидий государственному бюджетному учреждению Пермского края "Институт территориального планирования" градостроительных концепций и концепций благоустройства следующих территорий и объектов озеленения: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7.1. в 2024 году - ул. Мира от ул. Стахановской до ул. Советской Армии; ул. Мира от ул. Советской Армии до ул. Одоевского; ул. Мира от ул. Одоевского до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отстойно-разворотной площадки автобусов по шоссе Космонавтов; территории, соединяющей Мотовилихинский пруд и выход из сада им. Свердлова с местом отдыха людей у воды; сквера им. Борцов Революции (возле Музея-Диорамы) и склона горы Вышка; аллеи в микрорайон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е Боровики (з/у 59:01:173559:1670); сада им. Любимова (сада им. Кирова) (угол ул. 25-го Октября и ул. Луначарского (четная сторона), угол ул. 25-го Октября и ул. Луначарского (нечетная сторона)); экологического парка "Южный лес"; сквера по ул. Трясолобова;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7.2. в 2025 году - территории возле разворотного кольца трамвая в микрорайоне Владимирский (Южный - Юбилейный - Владимирский); территории Андроновских прудов; сквера по ул. Докучаева 40, 40а,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40б, 40в; сквера в микрорайоне Январский по ул. Кубанской; сквера в микрорайоне Чапаевский по ул. Еловой, 5а; сквера по ул. Мира в поселке Новые Ляды; сада им. Декабристов; экологического парка в долине реки Ивы; экологического парка в долине реки Мулянки;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7.3. в 2026 году - обществен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ного пространства между домами по шоссе Космонавтов, 98-102 и ул. Плеханова, 69-73; сквера по ул. Таврической; общественного пространства по ул. Ветлужской; сквера по ул. Пензенской; парка "Патриот"; сквера по ул. Хрустальной; сквера в микрорайоне Октябрьс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кий (в рамках приоритетного проекта Свердловского района "Район без окраин"); сада им. 250-летия города Перми (между ул. Ленина и ул. Окулова до трамвайных путей, угол ул. Окулова и ул. Петропавловской до ул. Ленина); охраняемого ландшафта "Красные Горки".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8. До 01.08.2024 по итогам исполнения за 6 месяцев 2024 года бюджета города обеспечить внесение в него изменений в части увеличения поступления доходов от предоставлени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округов, и штрафов за невнесение платы за пользование ими.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12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Настоящее решение вступает в силу с 01.01.2024, но не ранее дня его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2. Опубликовать настоящее решение в печатном средстве массовой информации "Офиц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иальный бюллетень органов местного самоуправления муниципального образования город Пермь",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7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Статья 13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54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бюджету и налогам.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right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Председатель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right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Пермской городской Думы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right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Д.В.МАЛЮТИН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both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right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Глава города Перми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contextualSpacing/>
        <w:ind w:left="0" w:firstLine="0"/>
        <w:jc w:val="right"/>
        <w:spacing w:before="0" w:beforeAutospacing="0" w:after="0" w:afterAutospacing="0" w:line="238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Э.О.СОСНИН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p>
      <w:pPr>
        <w:pStyle w:val="836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i/>
          <w:strike w:val="0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37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38" w:customStyle="1">
    <w:name w:val="Body Text"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39" w:customStyle="1">
    <w:name w:val="ConsPlusNonformat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ermolina-an</cp:lastModifiedBy>
  <cp:revision>3</cp:revision>
  <dcterms:modified xsi:type="dcterms:W3CDTF">2024-12-28T10:37:16Z</dcterms:modified>
</cp:coreProperties>
</file>