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caps/>
          <w:sz w:val="32"/>
          <w:szCs w:val="40"/>
        </w:rPr>
      </w:pPr>
      <w:r>
        <w:rPr>
          <w:b/>
          <w:caps/>
          <w:sz w:val="32"/>
          <w:szCs w:val="40"/>
        </w:rPr>
      </w:r>
      <w:r>
        <w:rPr>
          <w:b/>
          <w:caps/>
          <w:szCs w:val="32"/>
        </w:rPr>
      </w:r>
      <w:r>
        <w:rPr>
          <w:b/>
          <w:caps/>
          <w:sz w:val="32"/>
          <w:szCs w:val="40"/>
        </w:rPr>
      </w:r>
    </w:p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города Перми на 1 НОябРЯ 2024 года 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jc w:val="center"/>
        <w:spacing w:line="240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</w:r>
      <w:r>
        <w:rPr>
          <w:b/>
          <w:caps/>
          <w:sz w:val="16"/>
          <w:szCs w:val="16"/>
        </w:rPr>
      </w:r>
      <w:r>
        <w:rPr>
          <w:b/>
          <w:caps/>
          <w:sz w:val="16"/>
          <w:szCs w:val="16"/>
        </w:rPr>
      </w:r>
    </w:p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пояснительная записка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ind w:firstLine="567"/>
        <w:spacing w:line="240" w:lineRule="auto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города Перми по состоянию на 1 ноября 2024 года                  по оперативным данным характеризуется следующими показателями: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240" w:lineRule="auto"/>
        <w:tabs>
          <w:tab w:val="left" w:pos="0" w:leader="none"/>
          <w:tab w:val="left" w:pos="709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- в сумме </w:t>
      </w:r>
      <w:r>
        <w:rPr>
          <w:b/>
          <w:bCs/>
          <w:sz w:val="28"/>
          <w:szCs w:val="28"/>
        </w:rPr>
        <w:t xml:space="preserve">47 503 699,3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101,4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плана</w:t>
      </w:r>
      <w:r>
        <w:t xml:space="preserve"> </w:t>
      </w:r>
      <w:r>
        <w:rPr>
          <w:sz w:val="28"/>
          <w:szCs w:val="28"/>
        </w:rPr>
        <w:t xml:space="preserve">январ</w:t>
      </w:r>
      <w:r>
        <w:rPr>
          <w:sz w:val="28"/>
          <w:szCs w:val="28"/>
        </w:rPr>
        <w:t xml:space="preserve">я-октября 2024 года (</w:t>
      </w:r>
      <w:r>
        <w:rPr>
          <w:sz w:val="28"/>
          <w:szCs w:val="28"/>
        </w:rPr>
        <w:t xml:space="preserve">46 828 779,7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 и </w:t>
      </w:r>
      <w:r>
        <w:rPr>
          <w:b/>
          <w:sz w:val="28"/>
          <w:szCs w:val="28"/>
        </w:rPr>
        <w:t xml:space="preserve">80,9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уточненного</w:t>
      </w:r>
      <w:r>
        <w:rPr>
          <w:sz w:val="28"/>
          <w:szCs w:val="28"/>
        </w:rPr>
        <w:t xml:space="preserve"> годового плана                 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 xml:space="preserve">58 731 791,7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За аналогичный период прошлого года поступления доходов составляли </w:t>
      </w:r>
      <w:r>
        <w:rPr>
          <w:sz w:val="28"/>
          <w:szCs w:val="28"/>
        </w:rPr>
        <w:t xml:space="preserve">42 651 698,7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1,5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плана января-октября 2023 года                              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 xml:space="preserve">в сопоставимых условиях с 2024 годом).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67"/>
        <w:spacing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Анализ поступления доходов бюджета за январь-октябрь 2023 и 2024 годов приведен в следующей таблице: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8508" w:firstLine="709"/>
        <w:spacing w:line="240" w:lineRule="auto"/>
      </w:pPr>
      <w:r>
        <w:t xml:space="preserve">(тыс.</w:t>
      </w:r>
      <w:r>
        <w:rPr>
          <w:lang w:val="en-US"/>
        </w:rPr>
        <w:t xml:space="preserve"> </w:t>
      </w:r>
      <w:r>
        <w:t xml:space="preserve">руб.)</w:t>
      </w:r>
      <w:r/>
    </w:p>
    <w:tbl>
      <w:tblPr>
        <w:tblW w:w="106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>
        <w:tblPrEx/>
        <w:trPr>
          <w:trHeight w:val="876"/>
        </w:trPr>
        <w:tc>
          <w:tcPr>
            <w:tcBorders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01.11.2023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(в сопоставимых условиях с 2024 г.)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01.11.2024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поступлений 2024 года от 2023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поступлений 2024 года к 2023 году,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Налоговые и неналоговые доходы,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20 360 653,7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26 001 504,3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5 640 850,6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127,7%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налоговые доходы*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14 657 342,9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19 383 055,5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4 725 712,6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132,2%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5 703 310,8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6 618 448,8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915 138,0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116,0%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22 291 045,0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21 502 195,0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-788 850,0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sz w:val="22"/>
              </w:rPr>
              <w:t xml:space="preserve">96,5%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Всего доходов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</w:pPr>
            <w:r>
              <w:rPr>
                <w:b/>
              </w:rPr>
              <w:t xml:space="preserve">42 651 698,7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</w:pPr>
            <w:r>
              <w:rPr>
                <w:b/>
              </w:rPr>
              <w:t xml:space="preserve">47 503 699,3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</w:pPr>
            <w:r>
              <w:rPr>
                <w:b/>
              </w:rPr>
              <w:t xml:space="preserve">4 852 000,6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</w:pPr>
            <w:r>
              <w:rPr>
                <w:b/>
              </w:rPr>
              <w:t xml:space="preserve">111,4%</w:t>
            </w:r>
            <w:r/>
          </w:p>
        </w:tc>
      </w:tr>
    </w:tbl>
    <w:p>
      <w:pPr>
        <w:ind w:left="426"/>
        <w:spacing w:line="240" w:lineRule="atLeast"/>
        <w:rPr>
          <w:sz w:val="18"/>
          <w:szCs w:val="16"/>
        </w:rPr>
      </w:pPr>
      <w:r>
        <w:rPr>
          <w:sz w:val="18"/>
          <w:szCs w:val="16"/>
        </w:rPr>
        <w:t xml:space="preserve">* в связи с изменениями с 2024 года норматива зачисления по налогу, взимаемому в связи с применением упрощенной системы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spacing w:line="240" w:lineRule="atLeast"/>
        <w:rPr>
          <w:sz w:val="18"/>
          <w:szCs w:val="16"/>
        </w:rPr>
      </w:pPr>
      <w:r>
        <w:rPr>
          <w:sz w:val="18"/>
          <w:szCs w:val="16"/>
        </w:rPr>
        <w:t xml:space="preserve">налогообложения (далее – УСН), объем доходов бюджета 2023 года приведен в сопоставимые условия (норматив по УСН – 10,0 %).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spacing w:line="240" w:lineRule="atLeast"/>
        <w:tabs>
          <w:tab w:val="left" w:pos="-180" w:leader="none"/>
        </w:tabs>
        <w:rPr>
          <w:sz w:val="20"/>
          <w:szCs w:val="36"/>
        </w:rPr>
      </w:pPr>
      <w:r>
        <w:rPr>
          <w:sz w:val="16"/>
          <w:szCs w:val="28"/>
        </w:rPr>
      </w:r>
      <w:r>
        <w:rPr>
          <w:sz w:val="20"/>
          <w:szCs w:val="36"/>
        </w:rPr>
      </w:r>
      <w:r>
        <w:rPr>
          <w:sz w:val="20"/>
          <w:szCs w:val="36"/>
        </w:rPr>
      </w:r>
    </w:p>
    <w:p>
      <w:pPr>
        <w:ind w:firstLine="709"/>
        <w:keepLines/>
        <w:spacing w:line="240" w:lineRule="atLeast"/>
        <w:tabs>
          <w:tab w:val="left" w:pos="7938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 расходам</w:t>
      </w:r>
      <w:r>
        <w:rPr>
          <w:sz w:val="28"/>
          <w:szCs w:val="28"/>
        </w:rPr>
        <w:t xml:space="preserve"> - в </w:t>
      </w:r>
      <w:r>
        <w:rPr>
          <w:sz w:val="28"/>
          <w:szCs w:val="28"/>
        </w:rPr>
        <w:t xml:space="preserve">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42 775 813,7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5,6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кассового плана                      января-октября 2024 года (</w:t>
      </w:r>
      <w:r>
        <w:rPr>
          <w:sz w:val="28"/>
          <w:szCs w:val="28"/>
        </w:rPr>
        <w:t xml:space="preserve">44 756 990,6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 и </w:t>
      </w:r>
      <w:r>
        <w:rPr>
          <w:b/>
          <w:sz w:val="28"/>
          <w:szCs w:val="28"/>
        </w:rPr>
        <w:t xml:space="preserve">71,7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годовых ассигнований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 xml:space="preserve">59 678 812,6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К</w:t>
      </w:r>
      <w:r>
        <w:rPr>
          <w:bCs/>
          <w:sz w:val="28"/>
          <w:szCs w:val="28"/>
        </w:rPr>
        <w:t xml:space="preserve">ассовый расход 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аналогичный период прошлого года составлял </w:t>
      </w:r>
      <w:r>
        <w:rPr>
          <w:sz w:val="28"/>
          <w:szCs w:val="28"/>
        </w:rPr>
        <w:t xml:space="preserve">43 139 843,8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94,7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кассового плана</w:t>
      </w:r>
      <w:r>
        <w:rPr>
          <w:sz w:val="28"/>
          <w:szCs w:val="28"/>
        </w:rPr>
        <w:t xml:space="preserve"> января-октября 2023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keepLines/>
        <w:spacing w:line="240" w:lineRule="atLeast"/>
        <w:tabs>
          <w:tab w:val="left" w:pos="7938" w:leader="none"/>
        </w:tabs>
        <w:rPr>
          <w:sz w:val="16"/>
          <w:szCs w:val="10"/>
        </w:rPr>
      </w:pPr>
      <w:r>
        <w:rPr>
          <w:sz w:val="16"/>
          <w:szCs w:val="10"/>
        </w:rPr>
      </w:r>
      <w:r>
        <w:rPr>
          <w:sz w:val="16"/>
          <w:szCs w:val="10"/>
        </w:rPr>
      </w:r>
      <w:r>
        <w:rPr>
          <w:sz w:val="16"/>
          <w:szCs w:val="10"/>
        </w:rPr>
      </w:r>
    </w:p>
    <w:p>
      <w:pPr>
        <w:ind w:firstLine="709"/>
        <w:keepLines/>
        <w:spacing w:line="240" w:lineRule="atLeast"/>
        <w:rPr>
          <w:b/>
          <w:color w:val="000000" w:themeColor="text1"/>
          <w:sz w:val="12"/>
          <w:szCs w:val="28"/>
        </w:rPr>
      </w:pPr>
      <w:r>
        <w:rPr>
          <w:sz w:val="28"/>
          <w:szCs w:val="28"/>
        </w:rPr>
        <w:t xml:space="preserve">Поступления доходов за январь-октябрь 2024 года превысили выплаты                              по расходам на су</w:t>
      </w:r>
      <w:r>
        <w:rPr>
          <w:color w:val="000000" w:themeColor="text1"/>
          <w:sz w:val="28"/>
          <w:szCs w:val="28"/>
        </w:rPr>
        <w:t xml:space="preserve">мму </w:t>
      </w:r>
      <w:r>
        <w:rPr>
          <w:color w:val="000000" w:themeColor="text1"/>
          <w:sz w:val="28"/>
          <w:szCs w:val="28"/>
        </w:rPr>
        <w:t xml:space="preserve">4 727 885,6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12"/>
          <w:szCs w:val="28"/>
        </w:rPr>
      </w:r>
      <w:r>
        <w:rPr>
          <w:b/>
          <w:color w:val="000000" w:themeColor="text1"/>
          <w:sz w:val="12"/>
          <w:szCs w:val="28"/>
        </w:rPr>
      </w:r>
    </w:p>
    <w:p>
      <w:pPr>
        <w:ind w:firstLine="720"/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на счете местного бюджета по состоянию на 01.11.2024 составил </w:t>
      </w:r>
      <w:r>
        <w:rPr>
          <w:sz w:val="28"/>
          <w:szCs w:val="28"/>
        </w:rPr>
        <w:t xml:space="preserve">5 557 193,7 тыс. руб. (в том числе: собственные средства – </w:t>
      </w:r>
      <w:r>
        <w:rPr>
          <w:sz w:val="28"/>
          <w:szCs w:val="28"/>
        </w:rPr>
        <w:t xml:space="preserve">4 471 303,0 тыс. руб., субсидии, субвенции и иные МБТ – </w:t>
      </w:r>
      <w:r>
        <w:rPr>
          <w:sz w:val="28"/>
          <w:szCs w:val="28"/>
        </w:rPr>
        <w:t xml:space="preserve">1 085 890,7 тыс. руб.).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numPr>
          <w:ilvl w:val="0"/>
          <w:numId w:val="36"/>
        </w:numPr>
        <w:contextualSpacing/>
        <w:ind w:right="-1"/>
        <w:jc w:val="left"/>
        <w:spacing w:line="240" w:lineRule="auto"/>
        <w:widowControl/>
        <w:rPr>
          <w:rFonts w:eastAsia="Calibri"/>
          <w:b/>
          <w:caps/>
          <w:sz w:val="28"/>
          <w:szCs w:val="22"/>
        </w:rPr>
      </w:pPr>
      <w:r>
        <w:rPr>
          <w:rFonts w:eastAsia="Calibri"/>
          <w:b/>
          <w:caps/>
          <w:sz w:val="28"/>
          <w:szCs w:val="22"/>
          <w:lang w:eastAsia="en-US"/>
        </w:rPr>
        <w:t xml:space="preserve">ИСПОЛНЕНИЕ БЮДЖЕТА ПО ДОХОДАМ</w:t>
      </w:r>
      <w:r>
        <w:rPr>
          <w:rFonts w:eastAsia="Calibri"/>
          <w:b/>
          <w:caps/>
          <w:sz w:val="28"/>
          <w:szCs w:val="22"/>
        </w:rPr>
      </w:r>
      <w:r>
        <w:rPr>
          <w:rFonts w:eastAsia="Calibri"/>
          <w:b/>
          <w:caps/>
          <w:sz w:val="28"/>
          <w:szCs w:val="22"/>
        </w:rPr>
      </w:r>
    </w:p>
    <w:p>
      <w:pPr>
        <w:jc w:val="center"/>
        <w:spacing w:line="240" w:lineRule="auto"/>
        <w:rPr>
          <w:sz w:val="20"/>
          <w:szCs w:val="28"/>
        </w:rPr>
      </w:pPr>
      <w:r>
        <w:rPr>
          <w:szCs w:val="28"/>
        </w:rPr>
        <w:t xml:space="preserve">   (приложение 1 к пояснительной записке)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spacing w:line="240" w:lineRule="auto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Налоговые доходы</w:t>
      </w:r>
      <w:r>
        <w:rPr>
          <w:sz w:val="28"/>
          <w:szCs w:val="28"/>
        </w:rPr>
        <w:t xml:space="preserve"> поступили в бюджет города в </w:t>
      </w:r>
      <w:r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 xml:space="preserve">19 383 055,5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</w:t>
      </w:r>
      <w:r>
        <w:rPr>
          <w:sz w:val="28"/>
          <w:szCs w:val="28"/>
        </w:rPr>
        <w:t xml:space="preserve">. руб.,              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102,4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 января-октября</w:t>
      </w:r>
      <w:r>
        <w:rPr>
          <w:sz w:val="28"/>
          <w:szCs w:val="28"/>
        </w:rPr>
        <w:t xml:space="preserve"> 2024 года (</w:t>
      </w:r>
      <w:r>
        <w:rPr>
          <w:sz w:val="28"/>
          <w:szCs w:val="28"/>
        </w:rPr>
        <w:t xml:space="preserve">18 935 720,8</w:t>
      </w:r>
      <w:r>
        <w:rPr>
          <w:sz w:val="28"/>
          <w:szCs w:val="28"/>
        </w:rPr>
        <w:t xml:space="preserve"> тыс. руб.)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78,6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 плану года (</w:t>
      </w:r>
      <w:r>
        <w:rPr>
          <w:sz w:val="28"/>
          <w:szCs w:val="28"/>
        </w:rPr>
        <w:t xml:space="preserve">24 659 439,2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За аналогичный период прошлого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 налоговых доходов составляли </w:t>
      </w:r>
      <w:r>
        <w:rPr>
          <w:sz w:val="28"/>
          <w:szCs w:val="28"/>
        </w:rPr>
        <w:t xml:space="preserve">14 657 342,9</w:t>
      </w:r>
      <w:r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102,8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лану января-октября 2023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Неналоговые доходы</w:t>
      </w:r>
      <w:r>
        <w:rPr>
          <w:sz w:val="28"/>
          <w:szCs w:val="28"/>
        </w:rPr>
        <w:t xml:space="preserve"> поступили в бюджет города в сумме </w:t>
      </w:r>
      <w:r>
        <w:rPr>
          <w:b/>
          <w:bCs/>
          <w:sz w:val="28"/>
          <w:szCs w:val="28"/>
        </w:rPr>
        <w:t xml:space="preserve">6 618 448,8</w:t>
      </w:r>
      <w:r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104,2 </w:t>
      </w:r>
      <w:r>
        <w:rPr>
          <w:b/>
          <w:sz w:val="28"/>
          <w:szCs w:val="28"/>
        </w:rPr>
        <w:t xml:space="preserve">%</w:t>
      </w:r>
      <w:r>
        <w:rPr>
          <w:sz w:val="28"/>
          <w:szCs w:val="28"/>
        </w:rPr>
        <w:t xml:space="preserve"> к плану января-октября 2024 года (</w:t>
      </w:r>
      <w:r>
        <w:rPr>
          <w:sz w:val="28"/>
          <w:szCs w:val="28"/>
        </w:rPr>
        <w:t xml:space="preserve">6 349 016,5</w:t>
      </w:r>
      <w:r>
        <w:rPr>
          <w:sz w:val="28"/>
          <w:szCs w:val="28"/>
        </w:rPr>
        <w:t xml:space="preserve"> тыс. руб.) и </w:t>
      </w:r>
      <w:r>
        <w:rPr>
          <w:b/>
          <w:sz w:val="28"/>
          <w:szCs w:val="28"/>
        </w:rPr>
        <w:t xml:space="preserve">86,6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>
        <w:rPr>
          <w:sz w:val="28"/>
          <w:szCs w:val="28"/>
        </w:rPr>
        <w:t xml:space="preserve"> года (</w:t>
      </w:r>
      <w:r>
        <w:rPr>
          <w:sz w:val="28"/>
          <w:szCs w:val="28"/>
        </w:rPr>
        <w:t xml:space="preserve">7 640 235,8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За аналогичный период прошлого года поступления неналоговых доходов составляли </w:t>
      </w:r>
      <w:r>
        <w:rPr>
          <w:sz w:val="28"/>
          <w:szCs w:val="28"/>
        </w:rPr>
        <w:t xml:space="preserve">5 703 310,8</w:t>
      </w:r>
      <w:r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106,6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 января</w:t>
      </w:r>
      <w:r>
        <w:rPr>
          <w:sz w:val="28"/>
          <w:szCs w:val="28"/>
        </w:rPr>
        <w:t xml:space="preserve">-октября 2023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</w:t>
      </w:r>
      <w:r>
        <w:rPr>
          <w:sz w:val="28"/>
          <w:szCs w:val="28"/>
        </w:rPr>
        <w:t xml:space="preserve"> от бюджетов других уровней поступили в сумме            </w:t>
      </w:r>
      <w:r>
        <w:rPr>
          <w:b/>
          <w:bCs/>
          <w:sz w:val="28"/>
          <w:szCs w:val="28"/>
        </w:rPr>
        <w:t xml:space="preserve">21 502 195,0</w:t>
      </w:r>
      <w:r>
        <w:rPr>
          <w:sz w:val="28"/>
          <w:szCs w:val="28"/>
        </w:rPr>
        <w:t xml:space="preserve"> тыс. руб., или </w:t>
      </w:r>
      <w:r>
        <w:rPr>
          <w:b/>
          <w:sz w:val="28"/>
          <w:szCs w:val="28"/>
        </w:rPr>
        <w:t xml:space="preserve">99,8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 января</w:t>
      </w:r>
      <w:r>
        <w:rPr>
          <w:sz w:val="28"/>
          <w:szCs w:val="28"/>
        </w:rPr>
        <w:t xml:space="preserve">-октября 2024 года (</w:t>
      </w:r>
      <w:r>
        <w:rPr>
          <w:sz w:val="28"/>
          <w:szCs w:val="28"/>
        </w:rPr>
        <w:t xml:space="preserve">21 544 042,4</w:t>
      </w:r>
      <w:r>
        <w:rPr>
          <w:color w:val="c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тыс</w:t>
      </w:r>
      <w:r>
        <w:rPr>
          <w:sz w:val="28"/>
          <w:szCs w:val="28"/>
        </w:rPr>
        <w:t xml:space="preserve">. руб.) и </w:t>
      </w:r>
      <w:r>
        <w:rPr>
          <w:b/>
          <w:sz w:val="28"/>
          <w:szCs w:val="28"/>
        </w:rPr>
        <w:t xml:space="preserve">81,3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 года (</w:t>
      </w:r>
      <w:r>
        <w:rPr>
          <w:sz w:val="28"/>
          <w:szCs w:val="28"/>
        </w:rPr>
        <w:t xml:space="preserve">26 432 116,7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За аналогичный период прошлого года поступления составляли </w:t>
      </w:r>
      <w:r>
        <w:rPr>
          <w:sz w:val="28"/>
          <w:szCs w:val="28"/>
        </w:rPr>
        <w:t xml:space="preserve">22 291 045,0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99,4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>
        <w:rPr>
          <w:sz w:val="28"/>
          <w:szCs w:val="28"/>
        </w:rPr>
        <w:t xml:space="preserve">                      января-октября 2023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назначение, прошлых лет, отражаемая в доходах бюджета со знаком «минус», в общем объеме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137 315,4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За аналогичный период прошлого года сумма возврата </w:t>
      </w:r>
      <w:r>
        <w:rPr>
          <w:sz w:val="28"/>
          <w:szCs w:val="28"/>
        </w:rPr>
        <w:t xml:space="preserve">составляла </w:t>
      </w:r>
      <w:r>
        <w:rPr>
          <w:sz w:val="28"/>
          <w:szCs w:val="28"/>
        </w:rPr>
        <w:t xml:space="preserve">323 616,6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uto"/>
        <w:tabs>
          <w:tab w:val="left" w:pos="1127" w:leader="none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плана по доходам за январь-октябрь 2024 года по основным </w:t>
      </w:r>
      <w:r>
        <w:rPr>
          <w:sz w:val="28"/>
          <w:szCs w:val="28"/>
        </w:rPr>
        <w:t xml:space="preserve">бюджетообразующим</w:t>
      </w:r>
      <w:r>
        <w:rPr>
          <w:sz w:val="28"/>
          <w:szCs w:val="28"/>
        </w:rPr>
        <w:t xml:space="preserve"> поступлениям выглядит следующим образом: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spacing w:line="240" w:lineRule="auto"/>
        <w:rPr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По состоянию на 01.11.2024 фактическое поступление </w:t>
      </w:r>
      <w:r>
        <w:rPr>
          <w:b/>
          <w:iCs/>
          <w:sz w:val="28"/>
          <w:szCs w:val="28"/>
          <w:highlight w:val="white"/>
        </w:rPr>
        <w:t xml:space="preserve">налога на доходы физических лиц </w:t>
      </w:r>
      <w:r>
        <w:rPr>
          <w:iCs/>
          <w:sz w:val="28"/>
          <w:szCs w:val="28"/>
          <w:highlight w:val="white"/>
        </w:rPr>
        <w:t xml:space="preserve">составило 14 972 331,8 тыс. руб., или 102,0 % к плану отчетного периода (14 680 629,9 тыс. руб.) и </w:t>
      </w:r>
      <w:r>
        <w:rPr>
          <w:sz w:val="28"/>
          <w:szCs w:val="28"/>
          <w:highlight w:val="white"/>
        </w:rPr>
        <w:t xml:space="preserve">77,6 %</w:t>
      </w:r>
      <w:r>
        <w:rPr>
          <w:iCs/>
          <w:sz w:val="28"/>
          <w:szCs w:val="28"/>
          <w:highlight w:val="white"/>
        </w:rPr>
        <w:t xml:space="preserve"> к</w:t>
      </w:r>
      <w:r>
        <w:rPr>
          <w:sz w:val="28"/>
          <w:szCs w:val="28"/>
          <w:highlight w:val="white"/>
        </w:rPr>
        <w:t xml:space="preserve"> уточненному плану года (19 291 111,4 </w:t>
      </w:r>
      <w:r>
        <w:rPr>
          <w:sz w:val="28"/>
          <w:szCs w:val="28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тыс. руб.). Относительно аналогичного периода прошлого года поступления составили 134,5 %</w:t>
      </w:r>
      <w:r>
        <w:rPr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i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Согласно итогам социально-экономического развития города Перми, рост среднемесячной заработной платы работников крупных и средних предприятий города за январь - август 2024 года относительно аналогичного периода прошлого года составил 118,7 %.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10 месяцев 2024 года сумма возвратов по налогу в связи с предоставлением социальных, имущественных и других вычетов физическим лицам составила </w:t>
      </w:r>
      <w:r>
        <w:rPr>
          <w:sz w:val="28"/>
          <w:szCs w:val="28"/>
          <w:highlight w:val="white"/>
        </w:rPr>
        <w:br/>
        <w:t xml:space="preserve">1 362 000,8 тыс. руб., что на 255 392,0 тыс. руб., или на 15,8 % меньше относительно аналогичного периода прошлого года.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1"/>
        <w:spacing w:line="240" w:lineRule="auto"/>
        <w:rPr>
          <w:b/>
          <w:iCs/>
          <w:sz w:val="16"/>
          <w:szCs w:val="16"/>
          <w:highlight w:val="white"/>
        </w:rPr>
      </w:pPr>
      <w:r>
        <w:rPr>
          <w:b/>
          <w:iCs/>
          <w:sz w:val="16"/>
          <w:szCs w:val="16"/>
          <w:highlight w:val="white"/>
        </w:rPr>
      </w:r>
      <w:r>
        <w:rPr>
          <w:b/>
          <w:iCs/>
          <w:sz w:val="16"/>
          <w:szCs w:val="16"/>
          <w:highlight w:val="white"/>
        </w:rPr>
      </w:r>
      <w:r>
        <w:rPr>
          <w:b/>
          <w:iCs/>
          <w:sz w:val="16"/>
          <w:szCs w:val="16"/>
          <w:highlight w:val="white"/>
        </w:rPr>
      </w:r>
    </w:p>
    <w:p>
      <w:pPr>
        <w:ind w:firstLine="720"/>
        <w:spacing w:line="240" w:lineRule="auto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По</w:t>
      </w:r>
      <w:r>
        <w:rPr>
          <w:b/>
          <w:iCs/>
          <w:sz w:val="28"/>
          <w:szCs w:val="28"/>
          <w:highlight w:val="white"/>
        </w:rPr>
        <w:t xml:space="preserve"> налогу, взимаемому в связи с применением упрощенной системы налогообложения, </w:t>
      </w:r>
      <w:r>
        <w:rPr>
          <w:iCs/>
          <w:sz w:val="28"/>
          <w:szCs w:val="28"/>
          <w:highlight w:val="white"/>
        </w:rPr>
        <w:t xml:space="preserve">фактическое поступление составило 1 107 948,8 тыс. руб.,</w:t>
      </w:r>
      <w:r>
        <w:rPr>
          <w:iCs/>
          <w:sz w:val="28"/>
          <w:szCs w:val="28"/>
          <w:highlight w:val="white"/>
        </w:rPr>
        <w:t xml:space="preserve">                      </w:t>
      </w:r>
      <w:r>
        <w:rPr>
          <w:iCs/>
          <w:sz w:val="28"/>
          <w:szCs w:val="28"/>
          <w:highlight w:val="white"/>
        </w:rPr>
        <w:t xml:space="preserve">или 108,7 % к плану отчетного периода (1 018 906,6 тыс. руб.) и 103,0 % к уточненному плану года (1 075 733,5 тыс. руб.).</w:t>
      </w:r>
      <w:r>
        <w:rPr>
          <w:sz w:val="28"/>
          <w:szCs w:val="28"/>
          <w:highlight w:val="white"/>
        </w:rPr>
        <w:t xml:space="preserve"> Относительно аналогичного периода прошлого года поступления составили 133,3 %</w:t>
      </w:r>
      <w:r>
        <w:rPr>
          <w:highlight w:val="white"/>
        </w:rPr>
        <w:t xml:space="preserve">.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firstLine="851"/>
        <w:spacing w:line="240" w:lineRule="auto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ind w:firstLine="720"/>
        <w:spacing w:line="240" w:lineRule="auto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По </w:t>
      </w:r>
      <w:r>
        <w:rPr>
          <w:b/>
          <w:iCs/>
          <w:sz w:val="28"/>
          <w:szCs w:val="28"/>
          <w:highlight w:val="white"/>
        </w:rPr>
        <w:t xml:space="preserve">единому налогу на вмененный доход для отдельных видов деятельности</w:t>
      </w:r>
      <w:r>
        <w:rPr>
          <w:iCs/>
          <w:sz w:val="28"/>
          <w:szCs w:val="28"/>
          <w:highlight w:val="white"/>
        </w:rPr>
        <w:t xml:space="preserve"> поступили платежи в счет погашения задолженности в сумме 789,0 тыс. руб.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firstLine="851"/>
        <w:spacing w:line="240" w:lineRule="auto"/>
        <w:rPr>
          <w:iCs/>
          <w:sz w:val="16"/>
          <w:szCs w:val="28"/>
          <w:highlight w:val="white"/>
        </w:rPr>
      </w:pPr>
      <w:r>
        <w:rPr>
          <w:iCs/>
          <w:sz w:val="16"/>
          <w:szCs w:val="28"/>
          <w:highlight w:val="white"/>
        </w:rPr>
      </w:r>
      <w:r>
        <w:rPr>
          <w:iCs/>
          <w:sz w:val="16"/>
          <w:szCs w:val="28"/>
          <w:highlight w:val="white"/>
        </w:rPr>
      </w:r>
      <w:r>
        <w:rPr>
          <w:iCs/>
          <w:sz w:val="16"/>
          <w:szCs w:val="28"/>
          <w:highlight w:val="white"/>
        </w:rPr>
      </w:r>
    </w:p>
    <w:p>
      <w:pPr>
        <w:ind w:firstLine="709"/>
        <w:spacing w:line="240" w:lineRule="auto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По </w:t>
      </w:r>
      <w:r>
        <w:rPr>
          <w:b/>
          <w:iCs/>
          <w:sz w:val="28"/>
          <w:szCs w:val="28"/>
          <w:highlight w:val="white"/>
        </w:rPr>
        <w:t xml:space="preserve">налогу, взимаемому в связи с применением патентной системы </w:t>
      </w:r>
      <w:r>
        <w:rPr>
          <w:b/>
          <w:iCs/>
          <w:sz w:val="28"/>
          <w:szCs w:val="28"/>
          <w:highlight w:val="white"/>
        </w:rPr>
        <w:t xml:space="preserve">налого</w:t>
      </w:r>
      <w:r>
        <w:rPr>
          <w:b/>
          <w:iCs/>
          <w:sz w:val="28"/>
          <w:szCs w:val="28"/>
          <w:highlight w:val="white"/>
        </w:rPr>
        <w:t xml:space="preserve">-</w:t>
      </w:r>
      <w:r>
        <w:rPr>
          <w:b/>
          <w:iCs/>
          <w:sz w:val="28"/>
          <w:szCs w:val="28"/>
          <w:highlight w:val="white"/>
        </w:rPr>
        <w:t xml:space="preserve">обложения</w:t>
      </w:r>
      <w:r>
        <w:rPr>
          <w:b/>
          <w:iCs/>
          <w:sz w:val="28"/>
          <w:szCs w:val="28"/>
          <w:highlight w:val="white"/>
        </w:rPr>
        <w:t xml:space="preserve">,</w:t>
      </w:r>
      <w:r>
        <w:rPr>
          <w:iCs/>
          <w:sz w:val="28"/>
          <w:szCs w:val="28"/>
          <w:highlight w:val="white"/>
        </w:rPr>
        <w:t xml:space="preserve"> фактическое поступление составило 333 489,9 тыс. руб., или 94,8 %</w:t>
      </w:r>
      <w:r>
        <w:rPr>
          <w:iCs/>
          <w:sz w:val="28"/>
          <w:szCs w:val="28"/>
          <w:highlight w:val="white"/>
        </w:rPr>
        <w:t xml:space="preserve">                    </w:t>
      </w:r>
      <w:r>
        <w:rPr>
          <w:iCs/>
          <w:sz w:val="28"/>
          <w:szCs w:val="28"/>
          <w:highlight w:val="white"/>
        </w:rPr>
        <w:t xml:space="preserve"> к плану отчетного периода (351 934,4 тыс. руб.) и 94,0 % к плану года (354 934,4</w:t>
      </w:r>
      <w:r>
        <w:rPr>
          <w:iCs/>
          <w:sz w:val="28"/>
          <w:szCs w:val="28"/>
          <w:highlight w:val="white"/>
        </w:rPr>
        <w:t xml:space="preserve">                     </w:t>
      </w:r>
      <w:r>
        <w:rPr>
          <w:iCs/>
          <w:sz w:val="28"/>
          <w:szCs w:val="28"/>
          <w:highlight w:val="white"/>
        </w:rPr>
        <w:t xml:space="preserve"> тыс. руб.).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  <w:highlight w:val="white"/>
        </w:rPr>
        <w:t xml:space="preserve">Неисполнение плана обусловлено ростом количества налогоплательщиков, воспользовавшихся правом уменьшения налога на сумму уплаченных страховых взносов.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8"/>
        <w:spacing w:line="240" w:lineRule="auto"/>
        <w:rPr>
          <w:iCs/>
          <w:sz w:val="28"/>
          <w:szCs w:val="28"/>
          <w:highlight w:val="white"/>
        </w:rPr>
      </w:pPr>
      <w:r>
        <w:rPr>
          <w:b/>
          <w:iCs/>
          <w:sz w:val="28"/>
          <w:szCs w:val="28"/>
          <w:highlight w:val="white"/>
        </w:rPr>
        <w:t xml:space="preserve">Налог на имущество физических лиц </w:t>
      </w:r>
      <w:r>
        <w:rPr>
          <w:iCs/>
          <w:sz w:val="28"/>
          <w:szCs w:val="28"/>
          <w:highlight w:val="white"/>
        </w:rPr>
        <w:t xml:space="preserve">поступил в сумме </w:t>
      </w:r>
      <w:r>
        <w:rPr>
          <w:sz w:val="28"/>
          <w:szCs w:val="28"/>
          <w:highlight w:val="white"/>
        </w:rPr>
        <w:t xml:space="preserve">509 419,7</w:t>
      </w:r>
      <w:r>
        <w:rPr>
          <w:iCs/>
          <w:sz w:val="28"/>
          <w:szCs w:val="28"/>
          <w:highlight w:val="white"/>
        </w:rPr>
        <w:t xml:space="preserve"> тыс. руб.,</w:t>
      </w:r>
      <w:r>
        <w:rPr>
          <w:iCs/>
          <w:sz w:val="28"/>
          <w:szCs w:val="28"/>
          <w:highlight w:val="white"/>
        </w:rPr>
        <w:t xml:space="preserve">        </w:t>
      </w:r>
      <w:r>
        <w:rPr>
          <w:iCs/>
          <w:sz w:val="28"/>
          <w:szCs w:val="28"/>
          <w:highlight w:val="white"/>
        </w:rPr>
        <w:t xml:space="preserve">что составляет 102,1 % к плану отчетного периода (499 000,0 тыс. руб.) и 40,7 %             к плану года (1 250 550,2 тыс. руб.).</w:t>
      </w:r>
      <w:r>
        <w:rPr>
          <w:highlight w:val="white"/>
        </w:rPr>
        <w:t xml:space="preserve"> </w:t>
      </w:r>
      <w:r>
        <w:rPr>
          <w:iCs/>
          <w:sz w:val="28"/>
          <w:szCs w:val="28"/>
          <w:highlight w:val="white"/>
        </w:rPr>
        <w:t xml:space="preserve">Поступили авансовые платежи налога за 2023 год.</w:t>
      </w:r>
      <w:r>
        <w:rPr>
          <w:bCs/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 Относительно аналогичного периода прошлого года поступление налога увеличилось на 7,8 %</w:t>
      </w:r>
      <w:r>
        <w:rPr>
          <w:iCs/>
          <w:sz w:val="28"/>
          <w:szCs w:val="28"/>
          <w:highlight w:val="white"/>
        </w:rPr>
        <w:t xml:space="preserve">.</w:t>
      </w:r>
      <w:r>
        <w:rPr>
          <w:bCs/>
          <w:iCs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Задолженность по налогу по состоянию на 01.10.2024 снизилась на </w:t>
      </w:r>
      <w:r>
        <w:rPr>
          <w:sz w:val="28"/>
          <w:szCs w:val="28"/>
          <w:highlight w:val="white"/>
        </w:rPr>
        <w:t xml:space="preserve">135 091,8 </w:t>
      </w:r>
      <w:r>
        <w:rPr>
          <w:sz w:val="28"/>
          <w:szCs w:val="28"/>
          <w:highlight w:val="white"/>
        </w:rPr>
        <w:t xml:space="preserve">   </w:t>
      </w:r>
      <w:r>
        <w:rPr>
          <w:iCs/>
          <w:sz w:val="28"/>
          <w:szCs w:val="28"/>
          <w:highlight w:val="white"/>
        </w:rPr>
        <w:t xml:space="preserve">тыс. руб. и составила </w:t>
      </w:r>
      <w:r>
        <w:rPr>
          <w:sz w:val="28"/>
          <w:szCs w:val="28"/>
          <w:highlight w:val="white"/>
        </w:rPr>
        <w:t xml:space="preserve">120 771,2</w:t>
      </w:r>
      <w:r>
        <w:rPr>
          <w:iCs/>
          <w:sz w:val="28"/>
          <w:szCs w:val="28"/>
          <w:highlight w:val="white"/>
        </w:rPr>
        <w:t xml:space="preserve"> тыс. руб. 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b/>
          <w:sz w:val="16"/>
          <w:szCs w:val="28"/>
          <w:highlight w:val="yellow"/>
        </w:rPr>
      </w:pPr>
      <w:r>
        <w:rPr>
          <w:b/>
          <w:sz w:val="16"/>
          <w:szCs w:val="28"/>
          <w:highlight w:val="yellow"/>
        </w:rPr>
      </w:r>
      <w:r>
        <w:rPr>
          <w:b/>
          <w:sz w:val="16"/>
          <w:szCs w:val="28"/>
          <w:highlight w:val="yellow"/>
        </w:rPr>
      </w:r>
      <w:r>
        <w:rPr>
          <w:b/>
          <w:sz w:val="16"/>
          <w:szCs w:val="28"/>
          <w:highlight w:val="yellow"/>
        </w:rPr>
      </w:r>
    </w:p>
    <w:p>
      <w:pPr>
        <w:ind w:firstLine="709"/>
        <w:spacing w:line="240" w:lineRule="auto"/>
        <w:rPr>
          <w:sz w:val="28"/>
          <w:szCs w:val="28"/>
          <w:highlight w:val="white"/>
        </w:rPr>
      </w:pPr>
      <w:r>
        <w:rPr>
          <w:b/>
          <w:iCs/>
          <w:sz w:val="28"/>
          <w:szCs w:val="28"/>
          <w:highlight w:val="white"/>
        </w:rPr>
        <w:t xml:space="preserve">Земельный налог</w:t>
      </w:r>
      <w:r>
        <w:rPr>
          <w:sz w:val="28"/>
          <w:szCs w:val="28"/>
          <w:highlight w:val="white"/>
        </w:rPr>
        <w:t xml:space="preserve"> поступил в сумме 2 129 664,2 тыс. руб., или </w:t>
      </w:r>
      <w:r>
        <w:rPr>
          <w:iCs/>
          <w:sz w:val="28"/>
          <w:szCs w:val="28"/>
          <w:highlight w:val="white"/>
        </w:rPr>
        <w:t xml:space="preserve">99,8 % к плану отчетного периода (</w:t>
      </w:r>
      <w:r>
        <w:rPr>
          <w:sz w:val="28"/>
          <w:szCs w:val="28"/>
          <w:highlight w:val="white"/>
        </w:rPr>
        <w:t xml:space="preserve">2 133 604,0</w:t>
      </w:r>
      <w:r>
        <w:rPr>
          <w:iCs/>
          <w:sz w:val="28"/>
          <w:szCs w:val="28"/>
          <w:highlight w:val="white"/>
        </w:rPr>
        <w:t xml:space="preserve"> тыс. руб.) и 89,4 % к плану года (2 382 735,3 тыс. руб.). </w:t>
      </w:r>
      <w:r>
        <w:rPr>
          <w:sz w:val="28"/>
          <w:szCs w:val="28"/>
          <w:highlight w:val="white"/>
        </w:rPr>
        <w:t xml:space="preserve">Относительно аналогичного периода прошлого года поступление составило 114,8 %</w:t>
      </w:r>
      <w:r>
        <w:rPr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Задолженность по налогу по состоянию на 01.10.2024 составляет</w:t>
      </w:r>
      <w:r>
        <w:rPr>
          <w:iCs/>
          <w:sz w:val="28"/>
          <w:szCs w:val="28"/>
          <w:highlight w:val="white"/>
        </w:rPr>
        <w:t xml:space="preserve">                                         156 751,4 </w:t>
      </w:r>
      <w:r>
        <w:rPr>
          <w:iCs/>
          <w:sz w:val="28"/>
          <w:szCs w:val="28"/>
          <w:highlight w:val="white"/>
        </w:rPr>
        <w:t xml:space="preserve">тыс. руб., в том числе задолженность организаций - 81 546,6 тыс. руб., физических лиц - 75 204,8 тыс. руб. По сравнению с 01.01.2024 года задолженность уменьшилась</w:t>
      </w:r>
      <w:r>
        <w:rPr>
          <w:iCs/>
          <w:sz w:val="28"/>
          <w:szCs w:val="28"/>
          <w:highlight w:val="white"/>
        </w:rPr>
        <w:t xml:space="preserve"> </w:t>
      </w:r>
      <w:r>
        <w:rPr>
          <w:iCs/>
          <w:sz w:val="28"/>
          <w:szCs w:val="28"/>
          <w:highlight w:val="white"/>
        </w:rPr>
        <w:t xml:space="preserve">на 64 804,6 тыс. руб., в том числе по физическим лицам снизилась</w:t>
      </w:r>
      <w:r>
        <w:rPr>
          <w:iCs/>
          <w:sz w:val="28"/>
          <w:szCs w:val="28"/>
          <w:highlight w:val="white"/>
        </w:rPr>
        <w:t xml:space="preserve">                         </w:t>
      </w:r>
      <w:r>
        <w:rPr>
          <w:iCs/>
          <w:sz w:val="28"/>
          <w:szCs w:val="28"/>
          <w:highlight w:val="white"/>
        </w:rPr>
        <w:t xml:space="preserve">на 36 683,7 тыс. руб., по организациям - на 28 120,9 тыс. руб.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</w:p>
    <w:p>
      <w:pPr>
        <w:contextualSpacing w:val="0"/>
        <w:ind w:left="0" w:firstLine="578"/>
        <w:jc w:val="both"/>
        <w:spacing w:line="240" w:lineRule="auto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iCs/>
          <w:sz w:val="28"/>
          <w:szCs w:val="28"/>
          <w:highlight w:val="white"/>
        </w:rPr>
        <w:t xml:space="preserve">Доходы в виде прибыли, приходящейся на доли в уставных (складочных) </w:t>
      </w:r>
      <w:r>
        <w:rPr>
          <w:b/>
          <w:iCs/>
          <w:sz w:val="28"/>
          <w:szCs w:val="28"/>
          <w:highlight w:val="white"/>
        </w:rPr>
        <w:t xml:space="preserve">капиталах хозяйственных товариществ и обществ, или дивидендов по акциям, принадлежащим городским округам, </w:t>
      </w:r>
      <w:r>
        <w:rPr>
          <w:iCs/>
          <w:sz w:val="28"/>
          <w:szCs w:val="28"/>
          <w:highlight w:val="white"/>
        </w:rPr>
        <w:t xml:space="preserve">поступили в сумме 7 403,8 тыс. руб.</w:t>
      </w:r>
      <w:r>
        <w:rPr>
          <w:rFonts w:eastAsia="Calibri"/>
          <w:sz w:val="28"/>
          <w:szCs w:val="28"/>
          <w:highlight w:val="white"/>
        </w:rPr>
        <w:t xml:space="preserve">, что в 2,8 раза превышает план отчетного периода и план года (2 640,0 тыс. руб.).</w:t>
      </w:r>
      <w: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578"/>
        <w:jc w:val="both"/>
        <w:spacing w:line="240" w:lineRule="auto"/>
        <w:rPr>
          <w:iCs/>
          <w:sz w:val="28"/>
          <w:szCs w:val="28"/>
          <w:highlight w:val="white"/>
        </w:rPr>
        <w:suppressLineNumbers w:val="0"/>
      </w:pPr>
      <w:r>
        <w:rPr>
          <w:iCs/>
          <w:sz w:val="28"/>
          <w:szCs w:val="28"/>
          <w:highlight w:val="white"/>
        </w:rPr>
        <w:t xml:space="preserve">Перевыполнение плана обусловлено распределением чистой прибыли ООО</w:t>
      </w:r>
      <w:r>
        <w:rPr>
          <w:iCs/>
          <w:sz w:val="28"/>
          <w:szCs w:val="28"/>
          <w:highlight w:val="none"/>
        </w:rPr>
        <w:t xml:space="preserve">              </w:t>
      </w:r>
      <w:r>
        <w:rPr>
          <w:iCs/>
          <w:sz w:val="28"/>
          <w:szCs w:val="28"/>
          <w:highlight w:val="white"/>
        </w:rPr>
        <w:t xml:space="preserve">«ЦПР им. М. Горького» за 2023 год.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left="142" w:firstLine="709"/>
        <w:spacing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 (за исключением средств от продажи права на заключение договоров аренды), </w:t>
      </w:r>
      <w:r>
        <w:rPr>
          <w:sz w:val="28"/>
          <w:szCs w:val="28"/>
          <w:highlight w:val="white"/>
        </w:rPr>
        <w:t xml:space="preserve">поступили в сумме 259 999,6 тыс. руб.,</w:t>
      </w:r>
      <w:r>
        <w:rPr>
          <w:sz w:val="28"/>
          <w:szCs w:val="28"/>
          <w:highlight w:val="white"/>
        </w:rPr>
        <w:t xml:space="preserve">     </w:t>
      </w:r>
      <w:r>
        <w:rPr>
          <w:sz w:val="28"/>
          <w:szCs w:val="28"/>
          <w:highlight w:val="white"/>
        </w:rPr>
        <w:t xml:space="preserve"> или 102,9 % к плану отчетного периода (252 650,0 тыс. руб.) и 92,5 % к плану года (280 952,0 тыс. руб.). В счет погашения задолженности прошлых лет в 2024 году </w:t>
      </w:r>
      <w:r>
        <w:rPr>
          <w:sz w:val="28"/>
          <w:szCs w:val="28"/>
          <w:highlight w:val="white"/>
        </w:rPr>
        <w:t xml:space="preserve">                       </w:t>
      </w:r>
      <w:r>
        <w:rPr>
          <w:sz w:val="28"/>
          <w:szCs w:val="28"/>
          <w:highlight w:val="white"/>
        </w:rPr>
        <w:t xml:space="preserve">в бюджет поступило 17 432,6 тыс.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руб.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auto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 на 4 752,3 тыс. руб., или на 1,9 %.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</w:r>
      <w:r>
        <w:rPr>
          <w:b/>
          <w:sz w:val="20"/>
          <w:szCs w:val="20"/>
          <w:highlight w:val="yellow"/>
        </w:rPr>
      </w:r>
      <w:r>
        <w:rPr>
          <w:b/>
          <w:sz w:val="20"/>
          <w:szCs w:val="20"/>
          <w:highlight w:val="yellow"/>
        </w:rPr>
      </w:r>
    </w:p>
    <w:p>
      <w:pPr>
        <w:ind w:firstLine="709"/>
        <w:spacing w:line="240" w:lineRule="auto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white"/>
        </w:rPr>
        <w:t xml:space="preserve">Доходы, получаемые в виде арендной платы за земли, находящиеся </w:t>
      </w:r>
      <w:r>
        <w:rPr>
          <w:b/>
          <w:sz w:val="28"/>
          <w:szCs w:val="28"/>
          <w:highlight w:val="white"/>
        </w:rPr>
        <w:br/>
        <w:t xml:space="preserve">в собственности городских округов (за исключением средств от продажи права на заключение договоров аренды),</w:t>
      </w:r>
      <w:r>
        <w:rPr>
          <w:sz w:val="28"/>
          <w:szCs w:val="28"/>
          <w:highlight w:val="white"/>
        </w:rPr>
        <w:t xml:space="preserve"> поступили в сумме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38 051,5 тыс. руб., что на 5,9 % </w:t>
      </w:r>
      <w:r>
        <w:rPr>
          <w:sz w:val="28"/>
          <w:szCs w:val="28"/>
          <w:highlight w:val="white"/>
        </w:rPr>
        <w:t xml:space="preserve">больше плана отчетного периода (35 930,0 тыс. руб.) и составляют 88,9 % к плану года (42 797,9 тыс. руб.). Перевыполнение плана отчетного периода обусловлено поступлением платежей по договорам, заключенным после формирования бюджетного задания на 2024 год.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 на 2 137,8 тыс. руб., или на 6,1 %.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</w:r>
      <w:r>
        <w:rPr>
          <w:b/>
          <w:sz w:val="20"/>
          <w:szCs w:val="20"/>
          <w:highlight w:val="yellow"/>
        </w:rPr>
      </w:r>
      <w:r>
        <w:rPr>
          <w:b/>
          <w:sz w:val="20"/>
          <w:szCs w:val="20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Средства от продажи права на заключение договоров аренды земельных участков, </w:t>
      </w:r>
      <w:r>
        <w:rPr>
          <w:rFonts w:eastAsia="Calibri"/>
          <w:i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sz w:val="28"/>
          <w:szCs w:val="28"/>
          <w:highlight w:val="white"/>
        </w:rPr>
        <w:t xml:space="preserve">, в целом поступили в сумме 480 042,2 тыс. руб., что составляет 110,9 % </w:t>
      </w:r>
      <w:r>
        <w:rPr>
          <w:bCs/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плана отчетного периода (432 887,7 тыс. руб.) и 109,2 % </w:t>
      </w:r>
      <w:r>
        <w:rPr>
          <w:bCs/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уточненного плана года (</w:t>
      </w:r>
      <w:r>
        <w:rPr>
          <w:sz w:val="28"/>
          <w:szCs w:val="28"/>
          <w:highlight w:val="white"/>
        </w:rPr>
        <w:t xml:space="preserve">439 581,6 </w:t>
      </w:r>
      <w:r>
        <w:rPr>
          <w:sz w:val="28"/>
          <w:szCs w:val="28"/>
          <w:highlight w:val="white"/>
        </w:rPr>
        <w:t xml:space="preserve">                         </w:t>
      </w:r>
      <w:r>
        <w:rPr>
          <w:sz w:val="28"/>
          <w:szCs w:val="28"/>
          <w:highlight w:val="white"/>
        </w:rPr>
        <w:t xml:space="preserve">тыс. руб.). Относительно аналогичного периода прошлого года поступления </w:t>
      </w:r>
      <w:r>
        <w:rPr>
          <w:sz w:val="28"/>
          <w:szCs w:val="28"/>
          <w:highlight w:val="white"/>
        </w:rPr>
        <w:t xml:space="preserve">                              </w:t>
      </w:r>
      <w:r>
        <w:rPr>
          <w:sz w:val="28"/>
          <w:szCs w:val="28"/>
          <w:highlight w:val="white"/>
        </w:rPr>
        <w:t xml:space="preserve">по данному виду дохода увеличились в 2,3 раза.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b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sz w:val="28"/>
          <w:szCs w:val="28"/>
          <w:highlight w:val="white"/>
        </w:rPr>
        <w:t xml:space="preserve">администрируемые департаментом имущественных отношений</w:t>
      </w:r>
      <w:r>
        <w:rPr>
          <w:rFonts w:eastAsia="Calibri"/>
          <w:sz w:val="28"/>
          <w:szCs w:val="28"/>
          <w:highlight w:val="white"/>
        </w:rPr>
        <w:t xml:space="preserve">, поступили в сумме 66 966,9 тыс. руб., что составляет 86,4 % к плану отчетного периода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(77 500,0 тыс. руб.) и 70,4 % к плану года (95 135,2 тыс. руб.). Невыполнение плана отчетного периода обусловлено в том числе </w:t>
      </w:r>
      <w:r>
        <w:rPr>
          <w:sz w:val="28"/>
          <w:szCs w:val="28"/>
          <w:highlight w:val="white"/>
        </w:rPr>
        <w:t xml:space="preserve">нарушением арендаторами договорных обязательств по оплате.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</w:rPr>
        <w:outlineLvl w:val="0"/>
      </w:pPr>
      <w:r>
        <w:rPr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 97,8 %.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16"/>
          <w:szCs w:val="16"/>
          <w:highlight w:val="white"/>
        </w:rPr>
        <w:outlineLvl w:val="0"/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Прочие доходы от использования имущества и прав, находящихся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в государственной и муниципальной собственности (за исключением имущества бюджетных и автономных учреждений, а также имущества государственных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и муниципальных унитарных предприятий, в том числе казенных)</w:t>
      </w:r>
      <w:r>
        <w:rPr>
          <w:b/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поступили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сумме 167 499,2 тыс. руб., что составляет 109,8 % к плану отчетного периода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(152 489,6 тыс. руб.) и 90,7 % к плану года (184 622,0 тыс. руб.). Относительно аналогичного периода прошлого года поступления по данному виду дохода составили 110,5 %.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sz w:val="28"/>
          <w:szCs w:val="28"/>
          <w:highlight w:val="white"/>
        </w:rPr>
      </w:pPr>
      <w:r>
        <w:rPr>
          <w:i/>
          <w:sz w:val="28"/>
          <w:szCs w:val="28"/>
          <w:highlight w:val="white"/>
        </w:rPr>
        <w:t xml:space="preserve">- </w:t>
      </w:r>
      <w:r>
        <w:rPr>
          <w:b/>
          <w:bCs/>
          <w:i/>
          <w:sz w:val="28"/>
          <w:szCs w:val="28"/>
          <w:highlight w:val="white"/>
        </w:rPr>
        <w:t xml:space="preserve">доходы по договорам на размещение рекламных конструкций,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админист</w:t>
      </w:r>
      <w:r>
        <w:rPr>
          <w:i/>
          <w:sz w:val="28"/>
          <w:szCs w:val="28"/>
          <w:highlight w:val="white"/>
        </w:rPr>
        <w:t xml:space="preserve">-</w:t>
      </w:r>
      <w:r>
        <w:rPr>
          <w:i/>
          <w:sz w:val="28"/>
          <w:szCs w:val="28"/>
          <w:highlight w:val="white"/>
        </w:rPr>
        <w:t xml:space="preserve">рируемые</w:t>
      </w:r>
      <w:r>
        <w:rPr>
          <w:i/>
          <w:sz w:val="28"/>
          <w:szCs w:val="28"/>
          <w:highlight w:val="white"/>
        </w:rPr>
        <w:t xml:space="preserve"> департаментом экономики и промышленной политики</w:t>
      </w:r>
      <w:r>
        <w:rPr>
          <w:sz w:val="28"/>
          <w:szCs w:val="28"/>
          <w:highlight w:val="white"/>
        </w:rPr>
        <w:t xml:space="preserve">, поступили в сумме 94 935,8 тыс. руб., что составляет 110,8 % к плану отчетного периода (85 647,8</w:t>
      </w:r>
      <w:r>
        <w:rPr>
          <w:sz w:val="28"/>
          <w:szCs w:val="28"/>
          <w:highlight w:val="white"/>
        </w:rPr>
        <w:t xml:space="preserve">                      </w:t>
      </w:r>
      <w:r>
        <w:rPr>
          <w:sz w:val="28"/>
          <w:szCs w:val="28"/>
          <w:highlight w:val="white"/>
        </w:rPr>
        <w:t xml:space="preserve"> тыс. руб.) и 92,7 % к плану года (102 367,9 тыс. руб.).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Перевыполнение плана связано с поступлением в отчетном периоде обеспечительных платежей, планируемых к поступлению в декабре 2023 года, и платы</w:t>
      </w:r>
      <w:r>
        <w:rPr>
          <w:sz w:val="28"/>
          <w:szCs w:val="28"/>
        </w:rPr>
        <w:t xml:space="preserve"> по договорам ранее запланированного срока;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sz w:val="28"/>
          <w:szCs w:val="28"/>
          <w:highlight w:val="white"/>
        </w:rPr>
      </w:pPr>
      <w:r>
        <w:rPr>
          <w:i/>
          <w:sz w:val="28"/>
          <w:szCs w:val="28"/>
          <w:highlight w:val="white"/>
        </w:rPr>
        <w:t xml:space="preserve">- </w:t>
      </w:r>
      <w:r>
        <w:rPr>
          <w:b/>
          <w:bCs/>
          <w:i/>
          <w:sz w:val="28"/>
          <w:szCs w:val="28"/>
          <w:highlight w:val="white"/>
        </w:rPr>
        <w:t xml:space="preserve">доходы по договорам на размещение нестационарных объектов, </w:t>
      </w:r>
      <w:r>
        <w:rPr>
          <w:i/>
          <w:sz w:val="28"/>
          <w:szCs w:val="28"/>
          <w:highlight w:val="white"/>
        </w:rPr>
        <w:t xml:space="preserve">админист</w:t>
      </w:r>
      <w:r>
        <w:rPr>
          <w:i/>
          <w:sz w:val="28"/>
          <w:szCs w:val="28"/>
          <w:highlight w:val="white"/>
        </w:rPr>
        <w:t xml:space="preserve">-</w:t>
      </w:r>
      <w:r>
        <w:rPr>
          <w:i/>
          <w:sz w:val="28"/>
          <w:szCs w:val="28"/>
          <w:highlight w:val="white"/>
        </w:rPr>
        <w:t xml:space="preserve">рируемые</w:t>
      </w:r>
      <w:r>
        <w:rPr>
          <w:i/>
          <w:sz w:val="28"/>
          <w:szCs w:val="28"/>
          <w:highlight w:val="white"/>
        </w:rPr>
        <w:t xml:space="preserve"> департаментом экономики и промышленной политики,</w:t>
      </w:r>
      <w:r>
        <w:rPr>
          <w:sz w:val="28"/>
          <w:szCs w:val="28"/>
          <w:highlight w:val="white"/>
        </w:rPr>
        <w:t xml:space="preserve"> поступили в сумме 14 565,1 тыс. руб., что в 1,3 раза превышает план отчетного периода (11 317,7 </w:t>
      </w:r>
      <w:r>
        <w:rPr>
          <w:sz w:val="28"/>
          <w:szCs w:val="28"/>
          <w:highlight w:val="white"/>
        </w:rPr>
        <w:t xml:space="preserve">тыс.руб.) и составляет 108,8 % к плану года (13 384,8 тыс. руб.).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Перевыполнение плана по указанным доходам обусловлено поступлением авансовых платежей по договорам на размещение нестационарных торговых объектов, а также </w:t>
      </w:r>
      <w:r>
        <w:rPr>
          <w:sz w:val="28"/>
          <w:szCs w:val="28"/>
        </w:rPr>
        <w:t xml:space="preserve">заключением дополнительных соглашений по продлению сроков действия договоров.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line="240" w:lineRule="atLeast"/>
        <w:tabs>
          <w:tab w:val="left" w:pos="0" w:leader="none"/>
          <w:tab w:val="left" w:pos="900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sz w:val="28"/>
          <w:szCs w:val="28"/>
          <w:highlight w:val="white"/>
        </w:rPr>
        <w:t xml:space="preserve"> поступили в сумме </w:t>
      </w:r>
      <w:r>
        <w:rPr>
          <w:sz w:val="28"/>
          <w:szCs w:val="28"/>
          <w:highlight w:val="white"/>
        </w:rPr>
        <w:br/>
        <w:t xml:space="preserve">26 510,4 тыс. руб., что составляет 98,3 % от плана отчетного периода </w:t>
      </w:r>
      <w:r>
        <w:rPr>
          <w:rFonts w:eastAsia="Calibri"/>
          <w:sz w:val="28"/>
          <w:szCs w:val="28"/>
          <w:highlight w:val="white"/>
        </w:rPr>
        <w:t xml:space="preserve">(26 969,5</w:t>
      </w:r>
      <w:r>
        <w:rPr>
          <w:rFonts w:eastAsia="Calibri"/>
          <w:sz w:val="28"/>
          <w:szCs w:val="28"/>
          <w:highlight w:val="white"/>
        </w:rPr>
        <w:t xml:space="preserve">                      </w:t>
      </w:r>
      <w:r>
        <w:rPr>
          <w:rFonts w:eastAsia="Calibri"/>
          <w:sz w:val="28"/>
          <w:szCs w:val="28"/>
          <w:highlight w:val="white"/>
        </w:rPr>
        <w:t xml:space="preserve"> тыс. руб.) и 97,3 % к плану года (27 254,3 тыс. руб.). </w:t>
      </w:r>
      <w:r>
        <w:rPr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 в 2,5 раза.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atLeast"/>
        <w:tabs>
          <w:tab w:val="left" w:pos="0" w:leader="none"/>
          <w:tab w:val="left" w:pos="900" w:leader="none"/>
        </w:tabs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          </w:t>
      </w:r>
      <w:r>
        <w:rPr>
          <w:rFonts w:eastAsia="Calibri"/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b/>
          <w:bCs/>
          <w:i/>
          <w:sz w:val="28"/>
          <w:szCs w:val="28"/>
          <w:highlight w:val="white"/>
        </w:rPr>
        <w:t xml:space="preserve">плата за негативное воздействие на окружающую среду, </w:t>
      </w:r>
      <w:r>
        <w:rPr>
          <w:i/>
          <w:sz w:val="28"/>
          <w:szCs w:val="28"/>
          <w:highlight w:val="white"/>
        </w:rPr>
        <w:t xml:space="preserve">администрируемая</w:t>
      </w:r>
      <w:r>
        <w:rPr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Западно-Уральским</w:t>
      </w:r>
      <w:r>
        <w:rPr>
          <w:i/>
          <w:sz w:val="28"/>
          <w:szCs w:val="28"/>
          <w:highlight w:val="white"/>
        </w:rPr>
        <w:t xml:space="preserve"> межрегиональным управлением </w:t>
      </w:r>
      <w:r>
        <w:rPr>
          <w:i/>
          <w:sz w:val="28"/>
          <w:szCs w:val="28"/>
          <w:highlight w:val="white"/>
        </w:rPr>
        <w:t xml:space="preserve">Росприроднадзора</w:t>
      </w:r>
      <w:r>
        <w:rPr>
          <w:i/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поступила </w:t>
      </w:r>
      <w:r>
        <w:rPr>
          <w:sz w:val="28"/>
          <w:szCs w:val="28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в сумме 2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 795,9 тыс. руб., что составляет 93,9 % от плана отчетного периода </w:t>
      </w:r>
      <w:r>
        <w:rPr>
          <w:rFonts w:eastAsia="Calibri"/>
          <w:sz w:val="28"/>
          <w:szCs w:val="28"/>
          <w:highlight w:val="white"/>
        </w:rPr>
        <w:t xml:space="preserve">и плана года (25 333,7 тыс. руб.)</w:t>
      </w:r>
      <w:r>
        <w:rPr>
          <w:sz w:val="28"/>
          <w:szCs w:val="28"/>
          <w:highlight w:val="white"/>
        </w:rPr>
        <w:t xml:space="preserve">. Невыполнение плана обусловлено произведенным возвратом неверно зачисленной суммы;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sz w:val="28"/>
          <w:szCs w:val="28"/>
        </w:rPr>
        <w:outlineLvl w:val="0"/>
      </w:pPr>
      <w:r>
        <w:rPr>
          <w:rFonts w:eastAsia="Calibri"/>
          <w:sz w:val="28"/>
          <w:szCs w:val="28"/>
          <w:highlight w:val="white"/>
        </w:rPr>
        <w:t xml:space="preserve">- </w:t>
      </w:r>
      <w:r>
        <w:rPr>
          <w:rFonts w:eastAsia="Calibri"/>
          <w:b/>
          <w:bCs/>
          <w:i/>
          <w:sz w:val="28"/>
          <w:szCs w:val="28"/>
          <w:highlight w:val="white"/>
        </w:rPr>
        <w:t xml:space="preserve">плата за использование лесов,</w:t>
      </w:r>
      <w:r>
        <w:rPr>
          <w:rFonts w:eastAsia="Calibri"/>
          <w:i/>
          <w:sz w:val="28"/>
          <w:szCs w:val="28"/>
          <w:highlight w:val="white"/>
        </w:rPr>
        <w:t xml:space="preserve"> администрируемая управлением по экологии</w:t>
      </w:r>
      <w:r>
        <w:rPr>
          <w:rFonts w:eastAsia="Calibri"/>
          <w:i/>
          <w:sz w:val="28"/>
          <w:szCs w:val="28"/>
          <w:highlight w:val="white"/>
        </w:rPr>
        <w:t xml:space="preserve">                 </w:t>
      </w:r>
      <w:r>
        <w:rPr>
          <w:rFonts w:eastAsia="Calibri"/>
          <w:i/>
          <w:sz w:val="28"/>
          <w:szCs w:val="28"/>
          <w:highlight w:val="white"/>
        </w:rPr>
        <w:t xml:space="preserve"> и природопользованию,</w:t>
      </w:r>
      <w:r>
        <w:rPr>
          <w:rFonts w:eastAsia="Calibri"/>
          <w:sz w:val="28"/>
          <w:szCs w:val="28"/>
          <w:highlight w:val="white"/>
        </w:rPr>
        <w:t xml:space="preserve"> поступила в сумме 2 </w:t>
      </w:r>
      <w:r>
        <w:rPr>
          <w:rFonts w:eastAsia="Calibri"/>
          <w:sz w:val="28"/>
          <w:szCs w:val="28"/>
          <w:highlight w:val="white"/>
        </w:rPr>
        <w:t xml:space="preserve">714,</w:t>
      </w:r>
      <w:r>
        <w:rPr>
          <w:rFonts w:eastAsia="Calibri"/>
          <w:bCs/>
          <w:sz w:val="28"/>
          <w:szCs w:val="28"/>
          <w:highlight w:val="white"/>
        </w:rPr>
        <w:t xml:space="preserve">5</w:t>
      </w:r>
      <w:r>
        <w:rPr>
          <w:rFonts w:eastAsia="Calibri"/>
          <w:sz w:val="28"/>
          <w:szCs w:val="28"/>
          <w:highlight w:val="white"/>
        </w:rPr>
        <w:t xml:space="preserve"> тыс.</w:t>
      </w:r>
      <w:r>
        <w:rPr>
          <w:rFonts w:eastAsia="Calibri"/>
          <w:sz w:val="28"/>
          <w:szCs w:val="28"/>
          <w:highlight w:val="white"/>
        </w:rPr>
        <w:t xml:space="preserve"> руб., что в 1,7 раза превышает план отчетного периода (1 635,8 тыс. руб.) и составляет 141,3 % от плана года (1 920,6 тыс. руб.). </w:t>
      </w:r>
      <w:r>
        <w:rPr>
          <w:rFonts w:eastAsia="Calibri"/>
          <w:bCs/>
          <w:sz w:val="28"/>
          <w:szCs w:val="28"/>
          <w:highlight w:val="white"/>
        </w:rPr>
        <w:t xml:space="preserve">Перевыполнение плана связано в том числе с </w:t>
      </w:r>
      <w:r>
        <w:rPr>
          <w:sz w:val="28"/>
          <w:szCs w:val="28"/>
          <w:highlight w:val="white"/>
        </w:rPr>
        <w:t xml:space="preserve">увеличением количества договоров аренды.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16"/>
          <w:szCs w:val="28"/>
          <w:highlight w:val="yellow"/>
        </w:rPr>
        <w:outlineLvl w:val="0"/>
      </w:pPr>
      <w:r>
        <w:rPr>
          <w:sz w:val="16"/>
          <w:szCs w:val="28"/>
          <w:highlight w:val="yellow"/>
        </w:rPr>
      </w:r>
      <w:r>
        <w:rPr>
          <w:sz w:val="16"/>
          <w:szCs w:val="28"/>
          <w:highlight w:val="yellow"/>
        </w:rPr>
      </w:r>
      <w:r>
        <w:rPr>
          <w:sz w:val="16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</w:t>
      </w:r>
      <w:r>
        <w:rPr>
          <w:sz w:val="28"/>
          <w:szCs w:val="28"/>
          <w:highlight w:val="white"/>
        </w:rPr>
        <w:t xml:space="preserve"> посту</w:t>
      </w:r>
      <w:r>
        <w:rPr>
          <w:sz w:val="28"/>
          <w:szCs w:val="28"/>
          <w:highlight w:val="white"/>
        </w:rPr>
        <w:t xml:space="preserve">пили в сумме 4 285 188,7 тыс. руб., что составляет 98,8 % к плану отчетного периода (4 338 648,3 тыс. руб.) и 80,4 % к плану года (5 333 070,0 тыс. руб.). Относительно аналогичного периода прошлого года поступления по данному виду дохода составили 106,6 %.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shd w:val="clear" w:color="ffffff" w:fill="ffffff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shd w:val="clear" w:color="ffffff" w:fill="ffffff"/>
        <w:tabs>
          <w:tab w:val="left" w:pos="0" w:leader="none"/>
          <w:tab w:val="left" w:pos="709" w:leader="none"/>
          <w:tab w:val="left" w:pos="900" w:leader="none"/>
        </w:tabs>
        <w:rPr>
          <w:sz w:val="28"/>
          <w:szCs w:val="28"/>
          <w:highlight w:val="white"/>
        </w:rPr>
      </w:pPr>
      <w:r>
        <w:rPr>
          <w:i/>
          <w:sz w:val="28"/>
          <w:szCs w:val="28"/>
          <w:highlight w:val="white"/>
        </w:rPr>
        <w:t xml:space="preserve">- с</w:t>
      </w:r>
      <w:r>
        <w:rPr>
          <w:b/>
          <w:bCs/>
          <w:i/>
          <w:sz w:val="28"/>
          <w:szCs w:val="28"/>
          <w:highlight w:val="white"/>
        </w:rPr>
        <w:t xml:space="preserve">редства от реализации проездных документов отдельным категориям граждан города Перми,</w:t>
      </w:r>
      <w:r>
        <w:rPr>
          <w:i/>
          <w:sz w:val="28"/>
          <w:szCs w:val="28"/>
          <w:highlight w:val="white"/>
        </w:rPr>
        <w:t xml:space="preserve"> администрируемые департаментом транспорта,</w:t>
      </w:r>
      <w:r>
        <w:rPr>
          <w:sz w:val="28"/>
          <w:szCs w:val="28"/>
          <w:highlight w:val="white"/>
        </w:rPr>
        <w:t xml:space="preserve"> поступили в сумме 469 963,9 тыс. руб., или 103,1 % к плану отчетного периода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(455 715,5 </w:t>
      </w:r>
      <w:r>
        <w:rPr>
          <w:sz w:val="28"/>
          <w:szCs w:val="28"/>
          <w:highlight w:val="white"/>
        </w:rPr>
        <w:t xml:space="preserve">                       </w:t>
      </w:r>
      <w:r>
        <w:rPr>
          <w:sz w:val="28"/>
          <w:szCs w:val="28"/>
          <w:highlight w:val="white"/>
        </w:rPr>
        <w:t xml:space="preserve">тыс. руб.) и 78,8 % к плану года (596 188,0 тыс. руб.);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shd w:val="clear" w:color="ffffff" w:fill="ffffff"/>
        <w:tabs>
          <w:tab w:val="left" w:pos="0" w:leader="none"/>
          <w:tab w:val="left" w:pos="709" w:leader="none"/>
          <w:tab w:val="left" w:pos="90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-</w:t>
      </w:r>
      <w:r>
        <w:rPr>
          <w:b/>
          <w:bCs/>
          <w:i/>
          <w:sz w:val="28"/>
          <w:szCs w:val="28"/>
          <w:highlight w:val="white"/>
        </w:rPr>
        <w:t xml:space="preserve"> средства от реализации единых проездных документов, </w:t>
      </w:r>
      <w:r>
        <w:rPr>
          <w:i/>
          <w:sz w:val="28"/>
          <w:szCs w:val="28"/>
          <w:highlight w:val="white"/>
        </w:rPr>
        <w:t xml:space="preserve">администрируемые департаментом транспорта,</w:t>
      </w:r>
      <w:r>
        <w:rPr>
          <w:sz w:val="28"/>
          <w:szCs w:val="28"/>
          <w:highlight w:val="white"/>
        </w:rPr>
        <w:t xml:space="preserve"> поступили в сумме 332 538,7 тыс. руб., или 94,9 % </w:t>
      </w:r>
      <w:r>
        <w:rPr>
          <w:sz w:val="28"/>
          <w:szCs w:val="28"/>
          <w:highlight w:val="white"/>
        </w:rPr>
        <w:t xml:space="preserve">              </w:t>
      </w:r>
      <w:r>
        <w:rPr>
          <w:sz w:val="28"/>
          <w:szCs w:val="28"/>
          <w:highlight w:val="white"/>
        </w:rPr>
        <w:t xml:space="preserve">к плану отчетного периода (350 565,5 тыс. руб.) и 73,1 % к плану года (454 879,5</w:t>
      </w:r>
      <w:r>
        <w:rPr>
          <w:sz w:val="28"/>
          <w:szCs w:val="28"/>
          <w:highlight w:val="white"/>
        </w:rPr>
        <w:t xml:space="preserve">                  </w:t>
      </w:r>
      <w:r>
        <w:rPr>
          <w:sz w:val="28"/>
          <w:szCs w:val="28"/>
          <w:highlight w:val="white"/>
        </w:rPr>
        <w:t xml:space="preserve"> тыс. руб.);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shd w:val="clear" w:color="ffffff" w:fill="ffffff"/>
        <w:tabs>
          <w:tab w:val="left" w:pos="0" w:leader="none"/>
          <w:tab w:val="left" w:pos="709" w:leader="none"/>
          <w:tab w:val="left" w:pos="900" w:leader="none"/>
        </w:tabs>
        <w:rPr>
          <w:highlight w:val="white"/>
        </w:rPr>
      </w:pPr>
      <w:r>
        <w:rPr>
          <w:i/>
          <w:sz w:val="28"/>
          <w:szCs w:val="28"/>
          <w:highlight w:val="white"/>
        </w:rPr>
        <w:t xml:space="preserve">- </w:t>
      </w:r>
      <w:r>
        <w:rPr>
          <w:b/>
          <w:bCs/>
          <w:i/>
          <w:sz w:val="28"/>
          <w:szCs w:val="28"/>
          <w:highlight w:val="white"/>
        </w:rPr>
        <w:t xml:space="preserve">средства от перечисления платы за проезд пассажиров и провоз багажа, </w:t>
      </w:r>
      <w:r>
        <w:rPr>
          <w:i/>
          <w:sz w:val="28"/>
          <w:szCs w:val="28"/>
          <w:highlight w:val="white"/>
        </w:rPr>
        <w:t xml:space="preserve">администрируемые департаментом транспорта</w:t>
      </w:r>
      <w:r>
        <w:rPr>
          <w:sz w:val="28"/>
          <w:szCs w:val="28"/>
          <w:highlight w:val="white"/>
        </w:rPr>
        <w:t xml:space="preserve">, поступили в сумме 3 401 012,1 </w:t>
      </w:r>
      <w:r>
        <w:rPr>
          <w:sz w:val="28"/>
          <w:szCs w:val="28"/>
          <w:highlight w:val="white"/>
        </w:rPr>
        <w:t xml:space="preserve">               </w:t>
      </w:r>
      <w:r>
        <w:rPr>
          <w:sz w:val="28"/>
          <w:szCs w:val="28"/>
          <w:highlight w:val="white"/>
        </w:rPr>
        <w:t xml:space="preserve">тыс. руб., или 97,0 % к плану отчетного периода (3 507 521,2 тыс. руб.) и 79,9 %</w:t>
      </w:r>
      <w:r>
        <w:rPr>
          <w:sz w:val="28"/>
          <w:szCs w:val="28"/>
          <w:highlight w:val="white"/>
        </w:rPr>
        <w:t xml:space="preserve">                     </w:t>
      </w:r>
      <w:r>
        <w:rPr>
          <w:sz w:val="28"/>
          <w:szCs w:val="28"/>
          <w:highlight w:val="white"/>
        </w:rPr>
        <w:t xml:space="preserve"> к плану года (4 256 276,0 тыс. руб.)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shd w:val="clear" w:color="ffffff" w:fill="ffffff"/>
        <w:tabs>
          <w:tab w:val="left" w:pos="0" w:leader="none"/>
          <w:tab w:val="left" w:pos="709" w:leader="none"/>
          <w:tab w:val="left" w:pos="90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целом по доходам от платы за проезд выполнение составило 97,4 </w:t>
      </w:r>
      <w:r>
        <w:rPr>
          <w:sz w:val="28"/>
          <w:szCs w:val="28"/>
          <w:highlight w:val="white"/>
        </w:rPr>
        <w:t xml:space="preserve">% </w:t>
      </w:r>
      <w:r>
        <w:rPr>
          <w:bCs/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плана</w:t>
      </w:r>
      <w:r>
        <w:rPr>
          <w:sz w:val="28"/>
          <w:szCs w:val="28"/>
          <w:highlight w:val="white"/>
        </w:rPr>
        <w:t xml:space="preserve"> отчетного периода.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продажи земельных участков,</w:t>
      </w:r>
      <w:r>
        <w:rPr>
          <w:b/>
          <w:color w:val="000000" w:themeColor="text1"/>
          <w:sz w:val="28"/>
          <w:szCs w:val="28"/>
          <w:highlight w:val="white"/>
        </w:rPr>
        <w:t xml:space="preserve"> находящихся в государственной </w:t>
      </w:r>
      <w:r>
        <w:rPr>
          <w:b/>
          <w:color w:val="000000" w:themeColor="text1"/>
          <w:sz w:val="28"/>
          <w:szCs w:val="28"/>
          <w:highlight w:val="white"/>
        </w:rPr>
        <w:t xml:space="preserve">            </w:t>
      </w:r>
      <w:r>
        <w:rPr>
          <w:b/>
          <w:color w:val="000000" w:themeColor="text1"/>
          <w:sz w:val="28"/>
          <w:szCs w:val="28"/>
          <w:highlight w:val="white"/>
        </w:rPr>
        <w:t xml:space="preserve">и муниципальной собственности,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189 036,6 </w:t>
      </w:r>
      <w:r>
        <w:rPr>
          <w:color w:val="000000" w:themeColor="text1"/>
          <w:sz w:val="28"/>
          <w:szCs w:val="28"/>
          <w:highlight w:val="white"/>
        </w:rPr>
        <w:t xml:space="preserve">тыс. руб., что в 1,3 </w:t>
      </w:r>
      <w:r>
        <w:rPr>
          <w:sz w:val="28"/>
          <w:szCs w:val="28"/>
          <w:highlight w:val="white"/>
        </w:rPr>
        <w:t xml:space="preserve">раза больше плана отчетного периода (143 080,0 тыс. руб.) и составляет 99,8 %</w:t>
      </w:r>
      <w:r>
        <w:rPr>
          <w:sz w:val="28"/>
          <w:szCs w:val="28"/>
          <w:highlight w:val="white"/>
        </w:rPr>
        <w:t xml:space="preserve">                               </w:t>
      </w:r>
      <w:r>
        <w:rPr>
          <w:sz w:val="28"/>
          <w:szCs w:val="28"/>
          <w:highlight w:val="white"/>
        </w:rPr>
        <w:t xml:space="preserve"> к уточненному плану года (189 360,8 тыс. руб.). Относительно аналогичного периода прошлого года поступления по данному виду дохода составили 110,1 %.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b/>
          <w:sz w:val="16"/>
          <w:szCs w:val="16"/>
          <w:highlight w:val="yellow"/>
        </w:rPr>
      </w:pPr>
      <w:r>
        <w:rPr>
          <w:b/>
          <w:sz w:val="16"/>
          <w:szCs w:val="16"/>
          <w:highlight w:val="yellow"/>
        </w:rPr>
      </w:r>
      <w:r>
        <w:rPr>
          <w:b/>
          <w:sz w:val="16"/>
          <w:szCs w:val="16"/>
          <w:highlight w:val="yellow"/>
        </w:rPr>
      </w:r>
      <w:r>
        <w:rPr>
          <w:b/>
          <w:sz w:val="16"/>
          <w:szCs w:val="16"/>
          <w:highlight w:val="yellow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платы за увеличение площади земельных участков,</w:t>
      </w:r>
      <w:r>
        <w:rPr>
          <w:b/>
          <w:color w:val="000000" w:themeColor="text1"/>
          <w:sz w:val="28"/>
          <w:szCs w:val="28"/>
          <w:highlight w:val="white"/>
        </w:rPr>
        <w:t xml:space="preserve">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</w:t>
      </w:r>
      <w:r>
        <w:rPr>
          <w:b/>
          <w:color w:val="000000" w:themeColor="text1"/>
          <w:sz w:val="28"/>
          <w:szCs w:val="28"/>
          <w:highlight w:val="white"/>
        </w:rPr>
        <w:t xml:space="preserve">     </w:t>
      </w:r>
      <w:r>
        <w:rPr>
          <w:b/>
          <w:color w:val="000000" w:themeColor="text1"/>
          <w:sz w:val="28"/>
          <w:szCs w:val="28"/>
          <w:highlight w:val="white"/>
        </w:rPr>
        <w:t xml:space="preserve">или муниципальной </w:t>
      </w:r>
      <w:r>
        <w:rPr>
          <w:b/>
          <w:color w:val="000000" w:themeColor="text1"/>
          <w:sz w:val="28"/>
          <w:szCs w:val="28"/>
          <w:highlight w:val="white"/>
        </w:rPr>
        <w:t xml:space="preserve">собственности </w:t>
      </w:r>
      <w:r>
        <w:rPr>
          <w:color w:val="000000" w:themeColor="text1"/>
          <w:sz w:val="28"/>
          <w:szCs w:val="28"/>
          <w:highlight w:val="white"/>
        </w:rPr>
        <w:t xml:space="preserve"> поступили</w:t>
      </w:r>
      <w:r>
        <w:rPr>
          <w:color w:val="000000" w:themeColor="text1"/>
          <w:sz w:val="28"/>
          <w:szCs w:val="28"/>
          <w:highlight w:val="white"/>
        </w:rPr>
        <w:t xml:space="preserve">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121 050,8 </w:t>
      </w:r>
      <w:r>
        <w:rPr>
          <w:color w:val="000000" w:themeColor="text1"/>
          <w:sz w:val="28"/>
          <w:szCs w:val="28"/>
          <w:highlight w:val="white"/>
        </w:rPr>
        <w:t xml:space="preserve">тыс. руб., что в 1,9 раза выше плана отчетного периода 2024 года (63 477,0 тыс. руб.) и составляет 147,3 % </w:t>
      </w:r>
      <w:r>
        <w:rPr>
          <w:sz w:val="28"/>
          <w:szCs w:val="28"/>
          <w:highlight w:val="white"/>
        </w:rPr>
        <w:t xml:space="preserve">к </w:t>
      </w:r>
      <w:r>
        <w:rPr>
          <w:bCs/>
          <w:sz w:val="28"/>
          <w:szCs w:val="28"/>
          <w:highlight w:val="white"/>
        </w:rPr>
        <w:t xml:space="preserve">уточненному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плану года (82 177,0 тыс. руб.).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 187,1 %.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16"/>
          <w:szCs w:val="16"/>
          <w:highlight w:val="yellow"/>
        </w:rPr>
        <w:outlineLvl w:val="0"/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sz w:val="28"/>
          <w:szCs w:val="28"/>
          <w:highlight w:val="white"/>
        </w:rPr>
        <w:t xml:space="preserve"> поступили в сумме 313 910,9 тыс. руб., что составляет 110,8 % от плана отчетного периода </w:t>
      </w:r>
      <w:r>
        <w:rPr>
          <w:rFonts w:eastAsia="Calibri"/>
          <w:sz w:val="28"/>
          <w:szCs w:val="28"/>
          <w:highlight w:val="white"/>
        </w:rPr>
        <w:t xml:space="preserve">(283 333,8 тыс. руб.) и 100,0 % от уточненного плана года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(314 008,0 </w:t>
      </w:r>
      <w:r>
        <w:rPr>
          <w:rFonts w:eastAsia="Calibri"/>
          <w:sz w:val="28"/>
          <w:szCs w:val="28"/>
          <w:highlight w:val="white"/>
        </w:rPr>
        <w:t xml:space="preserve">                      </w:t>
      </w:r>
      <w:r>
        <w:rPr>
          <w:rFonts w:eastAsia="Calibri"/>
          <w:sz w:val="28"/>
          <w:szCs w:val="28"/>
          <w:highlight w:val="white"/>
        </w:rPr>
        <w:t xml:space="preserve">тыс. руб.)</w:t>
      </w:r>
      <w:r>
        <w:rPr>
          <w:sz w:val="28"/>
          <w:szCs w:val="28"/>
          <w:highlight w:val="white"/>
        </w:rPr>
        <w:t xml:space="preserve">. Относительно аналогичного периода прошлого года поступления</w:t>
      </w:r>
      <w:r>
        <w:rPr>
          <w:sz w:val="28"/>
          <w:szCs w:val="28"/>
          <w:highlight w:val="white"/>
        </w:rPr>
        <w:t xml:space="preserve">                               </w:t>
      </w:r>
      <w:r>
        <w:rPr>
          <w:sz w:val="28"/>
          <w:szCs w:val="28"/>
          <w:highlight w:val="white"/>
        </w:rPr>
        <w:t xml:space="preserve"> по данному виду дохода составили 143,7 %.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В том числе: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right="-1" w:firstLine="709"/>
        <w:spacing w:line="240" w:lineRule="auto"/>
        <w:widowControl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  <w:highlight w:val="white"/>
        </w:rPr>
        <w:t xml:space="preserve">поступили доходы в сумме </w:t>
      </w:r>
      <w:r>
        <w:rPr>
          <w:sz w:val="28"/>
          <w:szCs w:val="28"/>
          <w:highlight w:val="white"/>
        </w:rPr>
        <w:br/>
        <w:t xml:space="preserve">287 116,2 тыс. руб., что составляет 113,5 % от плана отчетного периода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(252 994,7 </w:t>
      </w:r>
      <w:r>
        <w:rPr>
          <w:sz w:val="28"/>
          <w:szCs w:val="28"/>
          <w:highlight w:val="white"/>
        </w:rPr>
        <w:t xml:space="preserve">                  </w:t>
      </w:r>
      <w:r>
        <w:rPr>
          <w:sz w:val="28"/>
          <w:szCs w:val="28"/>
          <w:highlight w:val="white"/>
        </w:rPr>
        <w:t xml:space="preserve">тыс. руб.) и 103,7 % от уточненного плана года (276 773,3 тыс. руб.).</w:t>
      </w:r>
      <w:r>
        <w:rPr>
          <w:bCs/>
          <w:sz w:val="28"/>
          <w:szCs w:val="28"/>
          <w:highlight w:val="white"/>
        </w:rPr>
        <w:t xml:space="preserve"> Перевыполнение </w:t>
      </w:r>
      <w:r>
        <w:rPr>
          <w:bCs/>
          <w:sz w:val="28"/>
          <w:szCs w:val="28"/>
          <w:highlight w:val="white"/>
        </w:rPr>
        <w:t xml:space="preserve">плана отчетного периода обусловлено реализацией муниципального имущества </w:t>
      </w:r>
      <w:r>
        <w:rPr>
          <w:bCs/>
          <w:sz w:val="28"/>
          <w:szCs w:val="28"/>
          <w:highlight w:val="white"/>
        </w:rPr>
        <w:t xml:space="preserve">                      </w:t>
      </w:r>
      <w:r>
        <w:rPr>
          <w:bCs/>
          <w:sz w:val="28"/>
          <w:szCs w:val="28"/>
          <w:highlight w:val="white"/>
        </w:rPr>
        <w:t xml:space="preserve">по цене выше запланированной.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собственнос</w:t>
      </w:r>
      <w:r>
        <w:rPr>
          <w:rFonts w:eastAsia="Calibri"/>
          <w:bCs/>
          <w:sz w:val="28"/>
          <w:szCs w:val="28"/>
          <w:highlight w:val="white"/>
        </w:rPr>
        <w:t xml:space="preserve">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доходы поступили в сумме 26 794,7 тыс. руб., </w:t>
      </w:r>
      <w:r>
        <w:rPr>
          <w:sz w:val="28"/>
          <w:szCs w:val="28"/>
          <w:highlight w:val="white"/>
        </w:rPr>
        <w:t xml:space="preserve">что составляет 91,8 % от плана о</w:t>
      </w:r>
      <w:r>
        <w:rPr>
          <w:sz w:val="28"/>
          <w:szCs w:val="28"/>
        </w:rPr>
        <w:t xml:space="preserve">тчетного периода </w:t>
      </w:r>
      <w:r>
        <w:rPr>
          <w:rFonts w:eastAsia="Calibri"/>
          <w:bCs/>
          <w:sz w:val="28"/>
          <w:szCs w:val="28"/>
        </w:rPr>
        <w:t xml:space="preserve">(29 188,9</w:t>
      </w:r>
      <w:r>
        <w:rPr>
          <w:rFonts w:eastAsia="Calibri"/>
          <w:bCs/>
          <w:sz w:val="28"/>
          <w:szCs w:val="28"/>
        </w:rPr>
        <w:t xml:space="preserve">                       </w:t>
      </w:r>
      <w:r>
        <w:rPr>
          <w:rFonts w:eastAsia="Calibri"/>
          <w:bCs/>
          <w:sz w:val="28"/>
          <w:szCs w:val="28"/>
        </w:rPr>
        <w:t xml:space="preserve"> тыс. руб.) и 74,8 % от плана года (35 830,9 тыс. руб.). Невыполнение плана отчетного периода связано с низкой платежной дисциплиной плательщиков.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b/>
          <w:sz w:val="18"/>
          <w:szCs w:val="18"/>
        </w:rPr>
      </w:pPr>
      <w:r>
        <w:rPr>
          <w:b/>
          <w:sz w:val="16"/>
          <w:szCs w:val="16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Прочие неналоговые доходы</w:t>
      </w:r>
      <w:r>
        <w:rPr>
          <w:sz w:val="28"/>
          <w:szCs w:val="28"/>
          <w:highlight w:val="white"/>
        </w:rPr>
        <w:t xml:space="preserve"> поступили в сумме 170 240,5 тыс. руб., </w:t>
      </w:r>
      <w:r>
        <w:rPr>
          <w:sz w:val="28"/>
          <w:szCs w:val="28"/>
          <w:highlight w:val="white"/>
        </w:rPr>
        <w:t xml:space="preserve">                             </w:t>
      </w:r>
      <w:r>
        <w:rPr>
          <w:sz w:val="28"/>
          <w:szCs w:val="28"/>
          <w:highlight w:val="white"/>
        </w:rPr>
        <w:t xml:space="preserve">что составляет 138,4 % к плану отчетного периода </w:t>
      </w:r>
      <w:r>
        <w:rPr>
          <w:rFonts w:eastAsia="Calibri"/>
          <w:sz w:val="28"/>
          <w:szCs w:val="28"/>
          <w:highlight w:val="white"/>
        </w:rPr>
        <w:t xml:space="preserve">(123 042,2 тыс. руб.) и 116,3 % </w:t>
      </w:r>
      <w:r>
        <w:rPr>
          <w:rFonts w:eastAsia="Calibri"/>
          <w:sz w:val="28"/>
          <w:szCs w:val="28"/>
          <w:highlight w:val="white"/>
        </w:rPr>
        <w:t xml:space="preserve">                       </w:t>
      </w:r>
      <w:r>
        <w:rPr>
          <w:rFonts w:eastAsia="Calibri"/>
          <w:sz w:val="28"/>
          <w:szCs w:val="28"/>
          <w:highlight w:val="white"/>
        </w:rPr>
        <w:t xml:space="preserve">к плану года (146 377,0 тыс. руб.)</w:t>
      </w:r>
      <w:r>
        <w:rPr>
          <w:sz w:val="28"/>
          <w:szCs w:val="28"/>
          <w:highlight w:val="white"/>
        </w:rPr>
        <w:t xml:space="preserve">. Относительно аналогичного периода прошлого года поступления по данному виду дохода составили 198,9 %.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  <w:tab w:val="left" w:pos="900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В том числе: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highlight w:val="white"/>
        </w:rPr>
      </w:pPr>
      <w:r>
        <w:rPr>
          <w:b/>
          <w:i/>
          <w:sz w:val="28"/>
          <w:szCs w:val="28"/>
          <w:highlight w:val="white"/>
        </w:rPr>
        <w:t xml:space="preserve">- </w:t>
      </w:r>
      <w:r>
        <w:rPr>
          <w:b/>
          <w:bCs/>
          <w:i/>
          <w:sz w:val="28"/>
          <w:szCs w:val="28"/>
          <w:highlight w:val="white"/>
        </w:rPr>
        <w:t xml:space="preserve">восстановительная стоимость зеленых насаждений</w:t>
      </w:r>
      <w:r>
        <w:rPr>
          <w:i/>
          <w:sz w:val="28"/>
          <w:szCs w:val="28"/>
          <w:highlight w:val="white"/>
        </w:rPr>
        <w:t xml:space="preserve">, администрируемая управлением по экологии и природопользованию, </w:t>
      </w:r>
      <w:r>
        <w:rPr>
          <w:rFonts w:eastAsia="Calibri"/>
          <w:bCs/>
          <w:sz w:val="28"/>
          <w:szCs w:val="28"/>
          <w:highlight w:val="white"/>
        </w:rPr>
        <w:t xml:space="preserve">поступила в сумме 109 233,1 тыс. руб., что в 1,3 раза превышает план отчетного периода (84 542,2 тыс. руб.) и</w:t>
      </w:r>
      <w:r>
        <w:rPr>
          <w:rFonts w:eastAsia="Calibri"/>
          <w:bCs/>
          <w:sz w:val="28"/>
          <w:szCs w:val="28"/>
          <w:highlight w:val="white"/>
        </w:rPr>
        <w:t xml:space="preserve"> </w:t>
      </w:r>
      <w:r>
        <w:rPr>
          <w:rFonts w:eastAsia="Calibri"/>
          <w:bCs/>
          <w:sz w:val="28"/>
          <w:szCs w:val="28"/>
          <w:highlight w:val="white"/>
        </w:rPr>
        <w:t xml:space="preserve">составляет 109,1 % от уточненного плана года (100 165,0 тыс. руб.). Перевыполнение плана связано с поступлениями от крупных предприятий в сфере ЖКХ и строительства.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</w:r>
      <w:r>
        <w:rPr>
          <w:sz w:val="32"/>
          <w:szCs w:val="32"/>
          <w:highlight w:val="white"/>
        </w:rPr>
      </w:r>
      <w:r>
        <w:rPr>
          <w:sz w:val="32"/>
          <w:szCs w:val="32"/>
          <w:highlight w:val="white"/>
        </w:rPr>
      </w:r>
    </w:p>
    <w:p>
      <w:pPr>
        <w:numPr>
          <w:ilvl w:val="0"/>
          <w:numId w:val="2"/>
        </w:num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ПО РАСХОДАМ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rPr>
          <w:szCs w:val="28"/>
        </w:rPr>
      </w:pPr>
      <w:r>
        <w:rPr>
          <w:szCs w:val="28"/>
        </w:rPr>
        <w:t xml:space="preserve">           (приложение 2 к пояснительной записке)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Кассовый расход бюджета (без учёта зарезервированных средств: на исполнение судебных исков, резервного фонда администрации города) на 1 ноября 2024 года составил </w:t>
      </w:r>
      <w:r>
        <w:rPr>
          <w:b/>
          <w:sz w:val="28"/>
          <w:szCs w:val="28"/>
        </w:rPr>
        <w:t xml:space="preserve">42 775 708,4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</w:t>
      </w:r>
      <w:r>
        <w:rPr>
          <w:sz w:val="28"/>
          <w:szCs w:val="28"/>
        </w:rPr>
        <w:t xml:space="preserve">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5,6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кассового</w:t>
      </w:r>
      <w:r>
        <w:rPr>
          <w:sz w:val="28"/>
          <w:szCs w:val="28"/>
        </w:rPr>
        <w:t xml:space="preserve"> плана отчетного периода                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 xml:space="preserve">44 756 885,3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</w:t>
      </w:r>
      <w:r>
        <w:rPr>
          <w:sz w:val="28"/>
          <w:szCs w:val="28"/>
        </w:rPr>
        <w:t xml:space="preserve">.) и </w:t>
      </w:r>
      <w:r>
        <w:rPr>
          <w:b/>
          <w:sz w:val="28"/>
          <w:szCs w:val="28"/>
        </w:rPr>
        <w:t xml:space="preserve">71,8</w:t>
      </w:r>
      <w:r>
        <w:rPr>
          <w:b/>
          <w:sz w:val="28"/>
          <w:szCs w:val="28"/>
        </w:rPr>
        <w:t xml:space="preserve"> %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годовых ассигнований (</w:t>
      </w:r>
      <w:r>
        <w:rPr>
          <w:sz w:val="28"/>
          <w:szCs w:val="28"/>
        </w:rPr>
        <w:t xml:space="preserve">59 601 015,0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Исполнение по расходам за январь-октябрь 2023 года составляло </w:t>
      </w:r>
      <w:r>
        <w:rPr>
          <w:sz w:val="28"/>
          <w:szCs w:val="28"/>
        </w:rPr>
        <w:t xml:space="preserve">43 139 743,2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94,7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кассового плана отчетного</w:t>
      </w:r>
      <w:r>
        <w:rPr>
          <w:sz w:val="28"/>
          <w:szCs w:val="28"/>
        </w:rPr>
        <w:t xml:space="preserve"> периода 2023 года и </w:t>
      </w:r>
      <w:r>
        <w:rPr>
          <w:b/>
          <w:sz w:val="28"/>
          <w:szCs w:val="28"/>
        </w:rPr>
        <w:t xml:space="preserve">72,4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годовых ассигнований.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</w:pPr>
      <w:r>
        <w:rPr>
          <w:sz w:val="28"/>
          <w:szCs w:val="28"/>
        </w:rPr>
        <w:t xml:space="preserve">       </w:t>
      </w:r>
      <w:r/>
    </w:p>
    <w:p>
      <w:pPr>
        <w:ind w:firstLine="709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за январь-октябрь 2024 года в разрезе источников финансирования исполнена следующим образом.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tLeast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ind w:firstLine="709"/>
        <w:spacing w:line="240" w:lineRule="atLeast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 xml:space="preserve">2.1. за счет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sz w:val="28"/>
          <w:szCs w:val="28"/>
        </w:rPr>
        <w:t xml:space="preserve">- кассовое исполнение составляет </w:t>
      </w:r>
      <w:r>
        <w:rPr>
          <w:b/>
          <w:bCs/>
          <w:sz w:val="28"/>
          <w:szCs w:val="28"/>
        </w:rPr>
        <w:t xml:space="preserve">23 108 828,6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93,4 </w:t>
      </w:r>
      <w:r>
        <w:rPr>
          <w:b/>
          <w:sz w:val="28"/>
          <w:szCs w:val="28"/>
        </w:rPr>
        <w:t xml:space="preserve">%</w:t>
      </w:r>
      <w:r>
        <w:rPr>
          <w:sz w:val="28"/>
          <w:szCs w:val="28"/>
        </w:rPr>
        <w:t xml:space="preserve"> от кассового</w:t>
      </w:r>
      <w:r>
        <w:rPr>
          <w:sz w:val="28"/>
          <w:szCs w:val="28"/>
        </w:rPr>
        <w:t xml:space="preserve"> плана отчетного периода –           </w:t>
      </w:r>
      <w:r>
        <w:rPr>
          <w:sz w:val="28"/>
          <w:szCs w:val="28"/>
        </w:rPr>
        <w:t xml:space="preserve">24 733 992,2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руб. и </w:t>
      </w:r>
      <w:r>
        <w:rPr>
          <w:b/>
          <w:sz w:val="28"/>
          <w:szCs w:val="28"/>
        </w:rPr>
        <w:t xml:space="preserve">68,2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годовых ассиг</w:t>
      </w:r>
      <w:r>
        <w:rPr>
          <w:sz w:val="28"/>
          <w:szCs w:val="28"/>
        </w:rPr>
        <w:t xml:space="preserve">нований. Исполнение расходов                      за январь-октябрь 2023 года составляло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2 750 534,6</w:t>
      </w:r>
      <w:r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92,7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кассового</w:t>
      </w:r>
      <w:r>
        <w:rPr>
          <w:sz w:val="28"/>
          <w:szCs w:val="28"/>
        </w:rPr>
        <w:t xml:space="preserve"> плана отчетного периода 2023 года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74,3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годовых</w:t>
      </w:r>
      <w:r>
        <w:rPr>
          <w:sz w:val="28"/>
          <w:szCs w:val="28"/>
        </w:rPr>
        <w:t xml:space="preserve"> ассигнований.      </w:t>
      </w:r>
      <w:r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firstLine="709"/>
        <w:spacing w:line="240" w:lineRule="atLeast"/>
        <w:tabs>
          <w:tab w:val="right" w:pos="10488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16"/>
          <w:szCs w:val="20"/>
        </w:rPr>
        <w:t xml:space="preserve">  </w:t>
      </w:r>
      <w:bookmarkStart w:id="0" w:name="_GoBack"/>
      <w:r/>
      <w:bookmarkEnd w:id="0"/>
      <w:r>
        <w:rPr>
          <w:b/>
          <w:bCs/>
          <w:sz w:val="16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firstLine="709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2.2. за счет средств, выделенных на исполнение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государственных полномочий, -</w:t>
      </w:r>
      <w:r>
        <w:rPr>
          <w:sz w:val="28"/>
          <w:szCs w:val="28"/>
        </w:rPr>
        <w:t xml:space="preserve"> кассовое исполнение </w:t>
      </w:r>
      <w:r>
        <w:rPr>
          <w:sz w:val="28"/>
          <w:szCs w:val="28"/>
        </w:rPr>
        <w:t xml:space="preserve">составляет </w:t>
      </w:r>
      <w:r>
        <w:rPr>
          <w:b/>
          <w:bCs/>
          <w:sz w:val="28"/>
          <w:szCs w:val="28"/>
        </w:rPr>
        <w:t xml:space="preserve">12 261 451,8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</w:t>
      </w:r>
      <w:r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99,3</w:t>
      </w:r>
      <w:r>
        <w:rPr>
          <w:b/>
          <w:sz w:val="28"/>
          <w:szCs w:val="28"/>
        </w:rPr>
        <w:t xml:space="preserve"> %     </w:t>
      </w: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кассового плана отчетного периода – </w:t>
      </w:r>
      <w:r>
        <w:rPr>
          <w:sz w:val="28"/>
          <w:szCs w:val="28"/>
        </w:rPr>
        <w:t xml:space="preserve">12 342 061,5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78,5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годовых</w:t>
      </w:r>
      <w:r>
        <w:rPr>
          <w:sz w:val="28"/>
          <w:szCs w:val="28"/>
        </w:rPr>
        <w:t xml:space="preserve"> ассигнований. Исполнение расходов за январь-октябрь 2023 года составляло                                       </w:t>
      </w:r>
      <w:r>
        <w:rPr>
          <w:sz w:val="28"/>
          <w:szCs w:val="28"/>
        </w:rPr>
        <w:t xml:space="preserve">10 420 190,1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99,3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кассового плана отчетного периода 2023 года                        и </w:t>
      </w:r>
      <w:r>
        <w:rPr>
          <w:b/>
          <w:sz w:val="28"/>
          <w:szCs w:val="28"/>
        </w:rPr>
        <w:t xml:space="preserve">76,5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годовых ассигнований.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spacing w:line="240" w:lineRule="atLeast"/>
        <w:rPr>
          <w:sz w:val="28"/>
          <w:szCs w:val="28"/>
        </w:rPr>
      </w:pPr>
      <w:r>
        <w:rPr>
          <w:b/>
          <w:sz w:val="28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sz w:val="28"/>
          <w:szCs w:val="28"/>
        </w:rPr>
        <w:t xml:space="preserve">кассовое исполнение </w:t>
      </w:r>
      <w:r>
        <w:rPr>
          <w:sz w:val="28"/>
          <w:szCs w:val="28"/>
        </w:rPr>
        <w:t xml:space="preserve">составляет </w:t>
      </w:r>
      <w:r>
        <w:rPr>
          <w:b/>
          <w:bCs/>
          <w:sz w:val="28"/>
          <w:szCs w:val="28"/>
        </w:rPr>
        <w:t xml:space="preserve">7 405 428,0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96,4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кассового</w:t>
      </w:r>
      <w:r>
        <w:rPr>
          <w:sz w:val="28"/>
          <w:szCs w:val="28"/>
        </w:rPr>
        <w:t xml:space="preserve"> плана отчетного периода – </w:t>
      </w:r>
      <w:r>
        <w:rPr>
          <w:sz w:val="28"/>
          <w:szCs w:val="28"/>
        </w:rPr>
        <w:t xml:space="preserve">7 680 831,6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                          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73,2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годовых</w:t>
      </w:r>
      <w:r>
        <w:rPr>
          <w:sz w:val="28"/>
          <w:szCs w:val="28"/>
        </w:rPr>
        <w:t xml:space="preserve"> ассигнований. Исполнение расходов за январь-октябрь 2023 года составляло </w:t>
      </w:r>
      <w:r>
        <w:rPr>
          <w:sz w:val="28"/>
          <w:szCs w:val="28"/>
        </w:rPr>
        <w:t xml:space="preserve">9 969 018,5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94,7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кассового</w:t>
      </w:r>
      <w:r>
        <w:rPr>
          <w:sz w:val="28"/>
          <w:szCs w:val="28"/>
        </w:rPr>
        <w:t xml:space="preserve"> плана отчетного периода 2023 года </w:t>
      </w:r>
      <w:r>
        <w:rPr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64,9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годовых ассигнований.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tLeast"/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Расходная часть бюджета за январь-октябрь 2024 года по источникам финансирования в разрезе главных распорядителей бюджетных средств исполнена следующим образом.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2.1. Исполнение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расходов местного бюджета: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</w:p>
    <w:p>
      <w:pPr>
        <w:ind w:firstLine="709"/>
        <w:spacing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комитетом по физической культуре и спорту – на уровне 99,9 %;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– на уровне 99,6 %;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социальной политики – на уровне 99,5 %;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управлением жилищных отношений – на уровне 98,5 %;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культуры и молодежной политики – на уровне 98,3 %;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градостроительства и архитектуры – на уровне 97,1 %;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экономики и промышленной политики – на уровне 96,9 %;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Орджоникидзевского района – на уровне 96,7 %;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департаментом общественной безопасности – на уровне 96,2 %;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финансов – на уровне 95,7 %;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– на уровне 95,6 %;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spacing w:line="240" w:lineRule="auto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60" w:firstLine="349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</w:rPr>
        <w:t xml:space="preserve">ниже уровня 95 % </w:t>
      </w:r>
      <w:r>
        <w:rPr>
          <w:sz w:val="28"/>
          <w:szCs w:val="28"/>
        </w:rPr>
        <w:t xml:space="preserve">сложилось исполнение у следующих главных распорядителей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– на уровне 94,4 %;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контрольно</w:t>
      </w:r>
      <w:r>
        <w:rPr>
          <w:sz w:val="28"/>
          <w:szCs w:val="28"/>
        </w:rPr>
        <w:t xml:space="preserve">–счетной палат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города – на уровне 93,6 %;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департамента транспорта – на уровне 93,4 %;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Дзержинского района – на уровне 92,8 %;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дорог и благоустройства – на уровне 92,4 %;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Кировского района – на уровне 89,3 %;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капитального строительства – на уровне 87,1 %;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– на уровне 86,9 %;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– на уровне 86,8 %;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департамента имущественных отношений – на уровне 85,1 %;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Свердловского района – на уровне 81,3 %;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 – на уровне 79,8 %;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</w:rPr>
        <w:t xml:space="preserve">администрации Индустриального района – на уровне 77,4 %;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экологии и природопользованию – на уровне 77,2 %;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Мотовилихинского района – на уровне 74,7 %;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департамента жилищно-коммунального хозяйства – на уровне </w:t>
      </w:r>
      <w:r>
        <w:rPr>
          <w:sz w:val="28"/>
          <w:szCs w:val="28"/>
        </w:rPr>
        <w:t xml:space="preserve">61,4</w:t>
      </w:r>
      <w:r>
        <w:rPr>
          <w:sz w:val="28"/>
          <w:szCs w:val="28"/>
        </w:rPr>
        <w:t xml:space="preserve"> %.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 w:firstLine="34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349"/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349"/>
        <w:rPr>
          <w:b/>
          <w:bCs/>
          <w:sz w:val="16"/>
          <w:szCs w:val="16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left="0" w:firstLine="0"/>
        <w:jc w:val="both"/>
        <w:spacing w:before="0" w:after="0" w:line="240" w:lineRule="auto"/>
        <w:rPr>
          <w:b/>
          <w:bCs/>
          <w:sz w:val="16"/>
          <w:szCs w:val="16"/>
          <w:highlight w:val="none"/>
        </w:rPr>
        <w:suppressLineNumbers w:val="0"/>
      </w:pPr>
      <w:r>
        <w:rPr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b/>
        </w:rPr>
      </w:pPr>
      <w:r>
        <w:rPr>
          <w:sz w:val="28"/>
          <w:szCs w:val="28"/>
        </w:rPr>
        <w:t xml:space="preserve">комитетом по физической культуре и спорту – на уровне 100,0 %;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департаментом общественной безопасности – на уровне 99,9 %;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управлением записи актов гражданского состояния – на уровне 99,5 %;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администрацией Орджоникидзевского района – на уровне 98,0 %;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администрацией Свердловского района – на уровне 97,5 %;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транспорта – на уровне 95,1 %;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sz w:val="16"/>
          <w:szCs w:val="16"/>
        </w:rPr>
        <w:suppressLineNumbers w:val="0"/>
      </w:pPr>
      <w:r>
        <w:rPr>
          <w:b/>
          <w:sz w:val="16"/>
          <w:szCs w:val="16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</w:t>
      </w:r>
      <w:r>
        <w:rPr>
          <w:sz w:val="28"/>
          <w:szCs w:val="28"/>
        </w:rPr>
        <w:t xml:space="preserve">ных распорядителей бюджетных средств: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16"/>
        </w:numPr>
        <w:spacing w:line="240" w:lineRule="auto"/>
        <w:rPr>
          <w:b/>
        </w:rPr>
      </w:pPr>
      <w:r>
        <w:rPr>
          <w:sz w:val="28"/>
          <w:szCs w:val="28"/>
        </w:rPr>
        <w:t xml:space="preserve">управления жилищных отношений – на уровне 94,8 %;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Дзержинского района – на уровне 92,9 %;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контрольного департамента – на уровне 92,7 %;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Мотовилихинского района – на уровне 91,2 %;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Индустриального района – на уровне 89,8 %;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департамента жилищно-коммунального хозяйства – на уровне 89,4 %;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Кировского района – на уровне 88,3 %;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 – на уровне 85,1 %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6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департамента дорог и благоустройства – на уровне 84,7 %;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 экологии и природопользованию – на уровне 83,9 %;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департамента социальной политики – на уровне 79,7 %;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– на уровне 46,6 %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349"/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2.3. Исполнение расходов по средствам, переданным из краевого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на выполнение полномочий городского округа: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360" w:firstLine="349"/>
        <w:spacing w:line="240" w:lineRule="auto"/>
        <w:rPr>
          <w:b/>
          <w:bCs/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</w:p>
    <w:p>
      <w:pPr>
        <w:ind w:left="360" w:firstLine="349"/>
        <w:spacing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numPr>
          <w:ilvl w:val="0"/>
          <w:numId w:val="30"/>
        </w:numPr>
        <w:ind w:left="357" w:hanging="357"/>
        <w:spacing w:after="0" w:line="240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Ленинского района – на уровне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100,0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%;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Мотовилихинского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администрацией Индустриального района – на уровне 100,0 %;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Кировского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Орджоникидзевского района – на уровне 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департаментом транспорта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департаментом социальной политики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– на уровне</w:t>
      </w:r>
      <w:r>
        <w:t xml:space="preserve"> </w:t>
      </w:r>
      <w:r>
        <w:rPr>
          <w:sz w:val="28"/>
          <w:szCs w:val="28"/>
        </w:rPr>
        <w:t xml:space="preserve">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земельных отношений – на уровне </w:t>
      </w:r>
      <w:r>
        <w:rPr>
          <w:sz w:val="28"/>
          <w:szCs w:val="28"/>
        </w:rPr>
        <w:t xml:space="preserve">100,0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ind w:left="357" w:hanging="357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культуры и молодежной политики – на уровне 99,98 %;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департаментом общественной безопасности – на уровне 99,95 %;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департаментом дорог и благоустройства – на уровне 99,8 %;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управлением жилищных отношений – на уровне 99,7 %;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комитетом по физической культуре и спорту – на уровне 99,6 %;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96,9 %;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0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Свердловского района – на уровне 95,5 %;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sz w:val="16"/>
          <w:szCs w:val="16"/>
        </w:rPr>
        <w:suppressLineNumbers w:val="0"/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32"/>
        </w:numPr>
        <w:spacing w:line="240" w:lineRule="auto"/>
        <w:rPr>
          <w:sz w:val="28"/>
          <w:szCs w:val="28"/>
        </w:rPr>
      </w:pPr>
      <w:r>
        <w:rPr>
          <w:sz w:val="28"/>
        </w:rPr>
        <w:t xml:space="preserve">управления по экологии и природопользованию – на уровне 92,9 %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управления капитального строительства – на уровне </w:t>
      </w:r>
      <w:r>
        <w:rPr>
          <w:sz w:val="28"/>
          <w:szCs w:val="28"/>
        </w:rPr>
        <w:t xml:space="preserve">89,7 </w:t>
      </w:r>
      <w:r>
        <w:rPr>
          <w:sz w:val="28"/>
          <w:szCs w:val="28"/>
        </w:rPr>
        <w:t xml:space="preserve">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администрации Дзержинского района – на уровне </w:t>
      </w:r>
      <w:r>
        <w:rPr>
          <w:sz w:val="28"/>
          <w:szCs w:val="28"/>
        </w:rPr>
        <w:t xml:space="preserve">23,5</w:t>
      </w:r>
      <w:r>
        <w:rPr>
          <w:sz w:val="28"/>
          <w:szCs w:val="28"/>
        </w:rPr>
        <w:t xml:space="preserve"> %.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 w:firstLine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Кассовый расход не производился при наличии кассового плана на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январь-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октябрь </w:t>
      </w:r>
      <w:r>
        <w:rPr>
          <w:b/>
          <w:sz w:val="28"/>
        </w:rPr>
        <w:t xml:space="preserve">2024 года </w:t>
      </w:r>
      <w:r>
        <w:rPr>
          <w:sz w:val="28"/>
          <w:szCs w:val="28"/>
        </w:rPr>
        <w:t xml:space="preserve">департаментом жилищно-коммунального хозяйства.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9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rPr>
        <w:rStyle w:val="961"/>
        <w:sz w:val="23"/>
        <w:szCs w:val="23"/>
      </w:rPr>
      <w:framePr w:wrap="around" w:vAnchor="text" w:hAnchor="margin" w:xAlign="right" w:y="1"/>
    </w:pPr>
    <w:r>
      <w:rPr>
        <w:rStyle w:val="961"/>
        <w:sz w:val="23"/>
        <w:szCs w:val="23"/>
      </w:rPr>
      <w:fldChar w:fldCharType="begin"/>
    </w:r>
    <w:r>
      <w:rPr>
        <w:rStyle w:val="961"/>
        <w:sz w:val="23"/>
        <w:szCs w:val="23"/>
      </w:rPr>
      <w:instrText xml:space="preserve">PAGE  </w:instrText>
    </w:r>
    <w:r>
      <w:rPr>
        <w:rStyle w:val="961"/>
        <w:sz w:val="23"/>
        <w:szCs w:val="23"/>
      </w:rPr>
      <w:fldChar w:fldCharType="end"/>
    </w:r>
    <w:r>
      <w:rPr>
        <w:rStyle w:val="961"/>
        <w:sz w:val="23"/>
        <w:szCs w:val="23"/>
      </w:rPr>
    </w:r>
    <w:r>
      <w:rPr>
        <w:rStyle w:val="961"/>
        <w:sz w:val="23"/>
        <w:szCs w:val="23"/>
      </w:rPr>
    </w:r>
  </w:p>
  <w:p>
    <w:pPr>
      <w:pStyle w:val="810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96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31"/>
  </w:num>
  <w:num w:numId="5">
    <w:abstractNumId w:val="22"/>
  </w:num>
  <w:num w:numId="6">
    <w:abstractNumId w:val="28"/>
  </w:num>
  <w:num w:numId="7">
    <w:abstractNumId w:val="19"/>
  </w:num>
  <w:num w:numId="8">
    <w:abstractNumId w:val="4"/>
  </w:num>
  <w:num w:numId="9">
    <w:abstractNumId w:val="12"/>
  </w:num>
  <w:num w:numId="10">
    <w:abstractNumId w:val="27"/>
  </w:num>
  <w:num w:numId="11">
    <w:abstractNumId w:val="24"/>
  </w:num>
  <w:num w:numId="12">
    <w:abstractNumId w:val="30"/>
  </w:num>
  <w:num w:numId="13">
    <w:abstractNumId w:val="23"/>
  </w:num>
  <w:num w:numId="14">
    <w:abstractNumId w:val="29"/>
  </w:num>
  <w:num w:numId="15">
    <w:abstractNumId w:val="35"/>
  </w:num>
  <w:num w:numId="16">
    <w:abstractNumId w:val="20"/>
  </w:num>
  <w:num w:numId="17">
    <w:abstractNumId w:val="2"/>
  </w:num>
  <w:num w:numId="18">
    <w:abstractNumId w:val="15"/>
  </w:num>
  <w:num w:numId="19">
    <w:abstractNumId w:val="13"/>
  </w:num>
  <w:num w:numId="20">
    <w:abstractNumId w:val="5"/>
  </w:num>
  <w:num w:numId="21">
    <w:abstractNumId w:val="32"/>
  </w:num>
  <w:num w:numId="22">
    <w:abstractNumId w:val="6"/>
  </w:num>
  <w:num w:numId="23">
    <w:abstractNumId w:val="26"/>
  </w:num>
  <w:num w:numId="24">
    <w:abstractNumId w:val="1"/>
  </w:num>
  <w:num w:numId="25">
    <w:abstractNumId w:val="0"/>
  </w:num>
  <w:num w:numId="26">
    <w:abstractNumId w:val="25"/>
  </w:num>
  <w:num w:numId="27">
    <w:abstractNumId w:val="3"/>
  </w:num>
  <w:num w:numId="28">
    <w:abstractNumId w:val="16"/>
  </w:num>
  <w:num w:numId="29">
    <w:abstractNumId w:val="14"/>
  </w:num>
  <w:num w:numId="30">
    <w:abstractNumId w:val="33"/>
  </w:num>
  <w:num w:numId="31">
    <w:abstractNumId w:val="9"/>
  </w:num>
  <w:num w:numId="32">
    <w:abstractNumId w:val="18"/>
  </w:num>
  <w:num w:numId="33">
    <w:abstractNumId w:val="17"/>
  </w:num>
  <w:num w:numId="34">
    <w:abstractNumId w:val="36"/>
  </w:num>
  <w:num w:numId="35">
    <w:abstractNumId w:val="11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2">
    <w:name w:val="Heading 1 Char"/>
    <w:basedOn w:val="786"/>
    <w:link w:val="777"/>
    <w:uiPriority w:val="9"/>
    <w:rPr>
      <w:rFonts w:ascii="Arial" w:hAnsi="Arial" w:eastAsia="Arial" w:cs="Arial"/>
      <w:sz w:val="40"/>
      <w:szCs w:val="40"/>
    </w:rPr>
  </w:style>
  <w:style w:type="character" w:styleId="763">
    <w:name w:val="Heading 2 Char"/>
    <w:basedOn w:val="786"/>
    <w:link w:val="778"/>
    <w:uiPriority w:val="9"/>
    <w:rPr>
      <w:rFonts w:ascii="Arial" w:hAnsi="Arial" w:eastAsia="Arial" w:cs="Arial"/>
      <w:sz w:val="34"/>
    </w:rPr>
  </w:style>
  <w:style w:type="character" w:styleId="764">
    <w:name w:val="Heading 3 Char"/>
    <w:basedOn w:val="786"/>
    <w:link w:val="779"/>
    <w:uiPriority w:val="9"/>
    <w:rPr>
      <w:rFonts w:ascii="Arial" w:hAnsi="Arial" w:eastAsia="Arial" w:cs="Arial"/>
      <w:sz w:val="30"/>
      <w:szCs w:val="30"/>
    </w:rPr>
  </w:style>
  <w:style w:type="character" w:styleId="765">
    <w:name w:val="Heading 4 Char"/>
    <w:basedOn w:val="786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66">
    <w:name w:val="Heading 5 Char"/>
    <w:basedOn w:val="786"/>
    <w:link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67">
    <w:name w:val="Heading 6 Char"/>
    <w:basedOn w:val="786"/>
    <w:link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68">
    <w:name w:val="Heading 7 Char"/>
    <w:basedOn w:val="78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8 Char"/>
    <w:basedOn w:val="78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770">
    <w:name w:val="Heading 9 Char"/>
    <w:basedOn w:val="786"/>
    <w:link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71">
    <w:name w:val="Title Char"/>
    <w:basedOn w:val="786"/>
    <w:link w:val="800"/>
    <w:uiPriority w:val="10"/>
    <w:rPr>
      <w:sz w:val="48"/>
      <w:szCs w:val="48"/>
    </w:rPr>
  </w:style>
  <w:style w:type="character" w:styleId="772">
    <w:name w:val="Subtitle Char"/>
    <w:basedOn w:val="786"/>
    <w:link w:val="802"/>
    <w:uiPriority w:val="11"/>
    <w:rPr>
      <w:sz w:val="24"/>
      <w:szCs w:val="24"/>
    </w:rPr>
  </w:style>
  <w:style w:type="character" w:styleId="773">
    <w:name w:val="Quote Char"/>
    <w:link w:val="804"/>
    <w:uiPriority w:val="29"/>
    <w:rPr>
      <w:i/>
    </w:rPr>
  </w:style>
  <w:style w:type="character" w:styleId="774">
    <w:name w:val="Intense Quote Char"/>
    <w:link w:val="806"/>
    <w:uiPriority w:val="30"/>
    <w:rPr>
      <w:i/>
    </w:rPr>
  </w:style>
  <w:style w:type="character" w:styleId="775">
    <w:name w:val="Header Char"/>
    <w:basedOn w:val="786"/>
    <w:link w:val="808"/>
    <w:uiPriority w:val="99"/>
  </w:style>
  <w:style w:type="paragraph" w:styleId="776" w:default="1">
    <w:name w:val="Normal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77">
    <w:name w:val="Heading 1"/>
    <w:basedOn w:val="776"/>
    <w:next w:val="776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8">
    <w:name w:val="Heading 2"/>
    <w:basedOn w:val="776"/>
    <w:next w:val="776"/>
    <w:link w:val="7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9">
    <w:name w:val="Heading 3"/>
    <w:basedOn w:val="776"/>
    <w:next w:val="776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0">
    <w:name w:val="Heading 4"/>
    <w:basedOn w:val="776"/>
    <w:next w:val="776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776"/>
    <w:next w:val="776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2">
    <w:name w:val="Heading 6"/>
    <w:basedOn w:val="776"/>
    <w:next w:val="776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776"/>
    <w:next w:val="776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776"/>
    <w:next w:val="77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776"/>
    <w:next w:val="776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character" w:styleId="789" w:customStyle="1">
    <w:name w:val="Заголовок 1 Знак"/>
    <w:link w:val="777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Заголовок 2 Знак"/>
    <w:link w:val="778"/>
    <w:uiPriority w:val="9"/>
    <w:rPr>
      <w:rFonts w:ascii="Arial" w:hAnsi="Arial" w:eastAsia="Arial" w:cs="Arial"/>
      <w:sz w:val="34"/>
    </w:rPr>
  </w:style>
  <w:style w:type="character" w:styleId="791" w:customStyle="1">
    <w:name w:val="Заголовок 3 Знак"/>
    <w:link w:val="779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Заголовок 4 Знак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link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Заголовок 6 Знак"/>
    <w:link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Заголовок 8 Знак"/>
    <w:link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List Paragraph"/>
    <w:basedOn w:val="776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799">
    <w:name w:val="No Spacing"/>
    <w:uiPriority w:val="1"/>
    <w:qFormat/>
  </w:style>
  <w:style w:type="paragraph" w:styleId="800">
    <w:name w:val="Title"/>
    <w:basedOn w:val="776"/>
    <w:next w:val="776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 w:customStyle="1">
    <w:name w:val="Заголовок Знак"/>
    <w:link w:val="800"/>
    <w:uiPriority w:val="10"/>
    <w:rPr>
      <w:sz w:val="48"/>
      <w:szCs w:val="48"/>
    </w:rPr>
  </w:style>
  <w:style w:type="paragraph" w:styleId="802">
    <w:name w:val="Subtitle"/>
    <w:basedOn w:val="776"/>
    <w:next w:val="776"/>
    <w:link w:val="803"/>
    <w:uiPriority w:val="11"/>
    <w:qFormat/>
    <w:pPr>
      <w:spacing w:before="200" w:after="200"/>
    </w:pPr>
  </w:style>
  <w:style w:type="character" w:styleId="803" w:customStyle="1">
    <w:name w:val="Подзаголовок Знак"/>
    <w:link w:val="802"/>
    <w:uiPriority w:val="11"/>
    <w:rPr>
      <w:sz w:val="24"/>
      <w:szCs w:val="24"/>
    </w:rPr>
  </w:style>
  <w:style w:type="paragraph" w:styleId="804">
    <w:name w:val="Quote"/>
    <w:basedOn w:val="776"/>
    <w:next w:val="776"/>
    <w:link w:val="805"/>
    <w:uiPriority w:val="29"/>
    <w:qFormat/>
    <w:pPr>
      <w:ind w:left="720" w:right="720"/>
    </w:pPr>
    <w:rPr>
      <w:i/>
    </w:rPr>
  </w:style>
  <w:style w:type="character" w:styleId="805" w:customStyle="1">
    <w:name w:val="Цитата 2 Знак"/>
    <w:link w:val="804"/>
    <w:uiPriority w:val="29"/>
    <w:rPr>
      <w:i/>
    </w:rPr>
  </w:style>
  <w:style w:type="paragraph" w:styleId="806">
    <w:name w:val="Intense Quote"/>
    <w:basedOn w:val="776"/>
    <w:next w:val="776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 w:customStyle="1">
    <w:name w:val="Выделенная цитата Знак"/>
    <w:link w:val="806"/>
    <w:uiPriority w:val="30"/>
    <w:rPr>
      <w:i/>
    </w:rPr>
  </w:style>
  <w:style w:type="paragraph" w:styleId="808">
    <w:name w:val="Header"/>
    <w:basedOn w:val="776"/>
    <w:link w:val="809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09" w:customStyle="1">
    <w:name w:val="Верхний колонтитул Знак"/>
    <w:link w:val="808"/>
    <w:uiPriority w:val="99"/>
  </w:style>
  <w:style w:type="paragraph" w:styleId="810">
    <w:name w:val="Footer"/>
    <w:basedOn w:val="776"/>
    <w:link w:val="96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11" w:customStyle="1">
    <w:name w:val="Footer Char"/>
    <w:uiPriority w:val="99"/>
  </w:style>
  <w:style w:type="paragraph" w:styleId="812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 w:customStyle="1">
    <w:name w:val="Caption Char"/>
    <w:uiPriority w:val="99"/>
  </w:style>
  <w:style w:type="table" w:styleId="81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776"/>
    <w:link w:val="972"/>
    <w:uiPriority w:val="99"/>
    <w:semiHidden/>
    <w:unhideWhenUsed/>
    <w:rPr>
      <w:sz w:val="20"/>
      <w:szCs w:val="20"/>
    </w:rPr>
  </w:style>
  <w:style w:type="character" w:styleId="942" w:customStyle="1">
    <w:name w:val="Footnote Text Char"/>
    <w:uiPriority w:val="99"/>
    <w:rPr>
      <w:sz w:val="18"/>
    </w:rPr>
  </w:style>
  <w:style w:type="character" w:styleId="943">
    <w:name w:val="footnote reference"/>
    <w:uiPriority w:val="99"/>
    <w:semiHidden/>
    <w:unhideWhenUsed/>
    <w:rPr>
      <w:vertAlign w:val="superscript"/>
    </w:rPr>
  </w:style>
  <w:style w:type="paragraph" w:styleId="944">
    <w:name w:val="endnote text"/>
    <w:basedOn w:val="776"/>
    <w:link w:val="971"/>
    <w:uiPriority w:val="99"/>
    <w:semiHidden/>
    <w:unhideWhenUsed/>
    <w:rPr>
      <w:sz w:val="20"/>
      <w:szCs w:val="20"/>
    </w:rPr>
  </w:style>
  <w:style w:type="character" w:styleId="945" w:customStyle="1">
    <w:name w:val="Endnote Text Char"/>
    <w:uiPriority w:val="99"/>
    <w:rPr>
      <w:sz w:val="20"/>
    </w:rPr>
  </w:style>
  <w:style w:type="character" w:styleId="946">
    <w:name w:val="endnote reference"/>
    <w:uiPriority w:val="99"/>
    <w:semiHidden/>
    <w:unhideWhenUsed/>
    <w:rPr>
      <w:vertAlign w:val="superscript"/>
    </w:rPr>
  </w:style>
  <w:style w:type="paragraph" w:styleId="947">
    <w:name w:val="toc 1"/>
    <w:basedOn w:val="776"/>
    <w:next w:val="776"/>
    <w:uiPriority w:val="39"/>
    <w:unhideWhenUsed/>
    <w:pPr>
      <w:spacing w:after="57"/>
    </w:pPr>
  </w:style>
  <w:style w:type="paragraph" w:styleId="948">
    <w:name w:val="toc 2"/>
    <w:basedOn w:val="776"/>
    <w:next w:val="776"/>
    <w:uiPriority w:val="39"/>
    <w:unhideWhenUsed/>
    <w:pPr>
      <w:ind w:left="283"/>
      <w:spacing w:after="57"/>
    </w:pPr>
  </w:style>
  <w:style w:type="paragraph" w:styleId="949">
    <w:name w:val="toc 3"/>
    <w:basedOn w:val="776"/>
    <w:next w:val="776"/>
    <w:uiPriority w:val="39"/>
    <w:unhideWhenUsed/>
    <w:pPr>
      <w:ind w:left="567"/>
      <w:spacing w:after="57"/>
    </w:pPr>
  </w:style>
  <w:style w:type="paragraph" w:styleId="950">
    <w:name w:val="toc 4"/>
    <w:basedOn w:val="776"/>
    <w:next w:val="776"/>
    <w:uiPriority w:val="39"/>
    <w:unhideWhenUsed/>
    <w:pPr>
      <w:ind w:left="850"/>
      <w:spacing w:after="57"/>
    </w:pPr>
  </w:style>
  <w:style w:type="paragraph" w:styleId="951">
    <w:name w:val="toc 5"/>
    <w:basedOn w:val="776"/>
    <w:next w:val="776"/>
    <w:uiPriority w:val="39"/>
    <w:unhideWhenUsed/>
    <w:pPr>
      <w:ind w:left="1134"/>
      <w:spacing w:after="57"/>
    </w:pPr>
  </w:style>
  <w:style w:type="paragraph" w:styleId="952">
    <w:name w:val="toc 6"/>
    <w:basedOn w:val="776"/>
    <w:next w:val="776"/>
    <w:uiPriority w:val="39"/>
    <w:unhideWhenUsed/>
    <w:pPr>
      <w:ind w:left="1417"/>
      <w:spacing w:after="57"/>
    </w:pPr>
  </w:style>
  <w:style w:type="paragraph" w:styleId="953">
    <w:name w:val="toc 7"/>
    <w:basedOn w:val="776"/>
    <w:next w:val="776"/>
    <w:uiPriority w:val="39"/>
    <w:unhideWhenUsed/>
    <w:pPr>
      <w:ind w:left="1701"/>
      <w:spacing w:after="57"/>
    </w:pPr>
  </w:style>
  <w:style w:type="paragraph" w:styleId="954">
    <w:name w:val="toc 8"/>
    <w:basedOn w:val="776"/>
    <w:next w:val="776"/>
    <w:uiPriority w:val="39"/>
    <w:unhideWhenUsed/>
    <w:pPr>
      <w:ind w:left="1984"/>
      <w:spacing w:after="57"/>
    </w:pPr>
  </w:style>
  <w:style w:type="paragraph" w:styleId="955">
    <w:name w:val="toc 9"/>
    <w:basedOn w:val="776"/>
    <w:next w:val="776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6"/>
    <w:next w:val="776"/>
    <w:uiPriority w:val="99"/>
    <w:unhideWhenUsed/>
  </w:style>
  <w:style w:type="paragraph" w:styleId="958">
    <w:name w:val="Body Text Indent"/>
    <w:basedOn w:val="776"/>
    <w:link w:val="959"/>
    <w:pPr>
      <w:ind w:firstLine="720"/>
      <w:spacing w:line="360" w:lineRule="auto"/>
    </w:pPr>
    <w:rPr>
      <w:sz w:val="28"/>
      <w:szCs w:val="20"/>
      <w:lang w:val="en-US"/>
    </w:rPr>
  </w:style>
  <w:style w:type="character" w:styleId="959" w:customStyle="1">
    <w:name w:val="Основной текст с отступом Знак"/>
    <w:link w:val="95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0" w:customStyle="1">
    <w:name w:val="Нижний колонтитул Знак"/>
    <w:link w:val="8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1">
    <w:name w:val="page number"/>
    <w:basedOn w:val="786"/>
  </w:style>
  <w:style w:type="paragraph" w:styleId="962">
    <w:name w:val="Body Text Indent 2"/>
    <w:basedOn w:val="776"/>
    <w:link w:val="963"/>
    <w:pPr>
      <w:ind w:firstLine="720"/>
    </w:pPr>
    <w:rPr>
      <w:b/>
      <w:sz w:val="32"/>
      <w:szCs w:val="32"/>
      <w:lang w:val="en-US"/>
    </w:rPr>
  </w:style>
  <w:style w:type="character" w:styleId="963" w:customStyle="1">
    <w:name w:val="Основной текст с отступом 2 Знак"/>
    <w:link w:val="962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964">
    <w:name w:val="Balloon Text"/>
    <w:basedOn w:val="776"/>
    <w:link w:val="965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965" w:customStyle="1">
    <w:name w:val="Текст выноски Знак"/>
    <w:link w:val="96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66" w:customStyle="1">
    <w:name w:val="Верхний колонтитул;Знак"/>
    <w:basedOn w:val="776"/>
    <w:link w:val="96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967" w:customStyle="1">
    <w:name w:val="Верхний колонтитул Знак;Знак Знак1"/>
    <w:link w:val="9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8">
    <w:name w:val="Body Text"/>
    <w:basedOn w:val="776"/>
    <w:link w:val="969"/>
    <w:uiPriority w:val="99"/>
    <w:unhideWhenUsed/>
    <w:pPr>
      <w:spacing w:after="120"/>
    </w:pPr>
  </w:style>
  <w:style w:type="character" w:styleId="969" w:customStyle="1">
    <w:name w:val="Основной текст Знак"/>
    <w:link w:val="968"/>
    <w:uiPriority w:val="99"/>
    <w:rPr>
      <w:rFonts w:ascii="Times New Roman" w:hAnsi="Times New Roman" w:eastAsia="Times New Roman"/>
      <w:sz w:val="24"/>
      <w:szCs w:val="24"/>
    </w:rPr>
  </w:style>
  <w:style w:type="paragraph" w:styleId="970" w:customStyle="1">
    <w:name w:val="Исполнитель"/>
    <w:basedOn w:val="968"/>
    <w:pPr>
      <w:jc w:val="left"/>
      <w:spacing w:line="240" w:lineRule="exact"/>
      <w:widowControl/>
    </w:pPr>
    <w:rPr>
      <w:szCs w:val="20"/>
    </w:rPr>
  </w:style>
  <w:style w:type="character" w:styleId="971" w:customStyle="1">
    <w:name w:val="Текст концевой сноски Знак"/>
    <w:link w:val="944"/>
    <w:uiPriority w:val="99"/>
    <w:semiHidden/>
    <w:rPr>
      <w:rFonts w:ascii="Times New Roman" w:hAnsi="Times New Roman" w:eastAsia="Times New Roman"/>
    </w:rPr>
  </w:style>
  <w:style w:type="character" w:styleId="972" w:customStyle="1">
    <w:name w:val="Текст сноски Знак"/>
    <w:link w:val="941"/>
    <w:uiPriority w:val="99"/>
    <w:semiHidden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финансов админситрации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revision>384</cp:revision>
  <dcterms:created xsi:type="dcterms:W3CDTF">2024-07-10T10:00:00Z</dcterms:created>
  <dcterms:modified xsi:type="dcterms:W3CDTF">2024-11-11T06:40:01Z</dcterms:modified>
  <cp:version>983040</cp:version>
</cp:coreProperties>
</file>