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10207"/>
      </w:tblGrid>
      <w:tr>
        <w:trPr>
          <w:trHeight w:val="2791" w:hRule="exact"/>
        </w:trPr>
        <w:tc>
          <w:tcPr>
            <w:tcW w:w="10207" w:type="dxa"/>
            <w:tcMar>
              <w:left w:w="80" w:type="dxa"/>
              <w:top w:w="60" w:type="dxa"/>
              <w:right w:w="80" w:type="dxa"/>
              <w:bottom w:w="60" w:type="dxa"/>
            </w:tcMar>
          </w:tcPr>
          <w:p>
            <w:pPr>
              <w:pStyle w:val="Style_5"/>
              <w:spacing w:before="0" w:after="0" w:line="240" w:lineRule="auto"/>
              <w:ind w:left="0" w:firstLine="0"/>
              <w:jc w:val="left"/>
              <w:rPr>
                <w:rFonts w:ascii="Tahoma" w:hAnsi="Tahoma" w:eastAsia="Tahoma" w:cs="Tahoma"/>
                <w:b w:val="0"/>
                <w:i w:val="0"/>
                <w:strike w:val="0"/>
                <w:sz w:val="20"/>
              </w:rPr>
            </w:pPr>
            <w:r>
              <w:rPr>
                <w:rFonts w:ascii="Tahoma" w:hAnsi="Tahoma" w:eastAsia="Tahoma" w:cs="Tahoma"/>
                <w:b w:val="0"/>
                <w:i w:val="0"/>
                <w:strike w:val="0"/>
                <w:sz w:val="20"/>
              </w:rPr>
              <mc:AlternateContent>
                <mc:Choice Requires="wpg">
                  <w:drawing>
                    <wp:inline xmlns:wp="http://schemas.openxmlformats.org/drawingml/2006/wordprocessingDrawing" distT="0" distB="0" distL="0" distR="0">
                      <wp:extent cx="3810000" cy="904875"/>
                      <wp:effectExtent l="0" t="0" r="0" b="0"/>
                      <wp:docPr id="1" name="_x0000_s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a:xfrm>
                                <a:off x="0" y="0"/>
                                <a:ext cx="3810000" cy="9048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00.00pt;height:71.25pt;mso-wrap-distance-left:0.00pt;mso-wrap-distance-top:0.00pt;mso-wrap-distance-right:0.00pt;mso-wrap-distance-bottom:0.00pt;" stroked="f">
                      <v:path textboxrect="0,0,0,0"/>
                      <v:imagedata r:id="rId10" o:title=""/>
                    </v:shape>
                  </w:pict>
                </mc:Fallback>
              </mc:AlternateContent>
            </w:r>
          </w:p>
        </w:tc>
      </w:tr>
      <w:tr>
        <w:trPr>
          <w:trHeight w:val="7676" w:hRule="exact"/>
        </w:trPr>
        <w:tc>
          <w:tcPr>
            <w:tcW w:w="10207" w:type="dxa"/>
            <w:tcMar>
              <w:left w:w="80" w:type="dxa"/>
              <w:top w:w="60" w:type="dxa"/>
              <w:right w:w="80" w:type="dxa"/>
              <w:bottom w:w="60" w:type="dxa"/>
            </w:tcMar>
            <w:vAlign w:val="center"/>
          </w:tcPr>
          <w:p>
            <w:pPr>
              <w:pStyle w:val="Style_5"/>
              <w:spacing w:before="0" w:after="0" w:line="240" w:lineRule="auto"/>
              <w:ind w:left="0" w:firstLine="0"/>
              <w:jc w:val="center"/>
              <w:rPr>
                <w:rFonts w:ascii="Tahoma" w:hAnsi="Tahoma" w:eastAsia="Tahoma" w:cs="Tahoma"/>
                <w:b w:val="0"/>
                <w:i w:val="0"/>
                <w:strike w:val="0"/>
                <w:sz w:val="48"/>
              </w:rPr>
            </w:pPr>
            <w:r>
              <w:rPr>
                <w:rFonts w:ascii="Tahoma" w:hAnsi="Tahoma" w:eastAsia="Tahoma" w:cs="Tahoma"/>
                <w:b w:val="0"/>
                <w:i w:val="0"/>
                <w:strike w:val="0"/>
                <w:sz w:val="48"/>
              </w:rPr>
              <w:t xml:space="preserve">Распоряжение Начальника департамента финансов Администрации г. Перми от 28.12.2017 N СЭД-059-06-01.01-03-р-192</w:t>
            </w:r>
            <w:r>
              <w:rPr>
                <w:rFonts w:ascii="Tahoma" w:hAnsi="Tahoma" w:eastAsia="Tahoma" w:cs="Tahoma"/>
                <w:b w:val="0"/>
                <w:i w:val="0"/>
                <w:strike w:val="0"/>
                <w:sz w:val="48"/>
              </w:rPr>
              <w:br/>
            </w:r>
            <w:r>
              <w:rPr>
                <w:rFonts w:ascii="Tahoma" w:hAnsi="Tahoma" w:eastAsia="Tahoma" w:cs="Tahoma"/>
                <w:b w:val="0"/>
                <w:i w:val="0"/>
                <w:strike w:val="0"/>
                <w:sz w:val="48"/>
              </w:rPr>
              <w:t xml:space="preserve">(ред. от 28.12.2023)</w:t>
            </w:r>
            <w:r>
              <w:rPr>
                <w:rFonts w:ascii="Tahoma" w:hAnsi="Tahoma" w:eastAsia="Tahoma" w:cs="Tahoma"/>
                <w:b w:val="0"/>
                <w:i w:val="0"/>
                <w:strike w:val="0"/>
                <w:sz w:val="48"/>
              </w:rPr>
              <w:br/>
            </w:r>
            <w:r>
              <w:rPr>
                <w:rFonts w:ascii="Tahoma" w:hAnsi="Tahoma" w:eastAsia="Tahoma" w:cs="Tahoma"/>
                <w:b w:val="0"/>
                <w:i w:val="0"/>
                <w:strike w:val="0"/>
                <w:sz w:val="48"/>
              </w:rPr>
              <w:t xml:space="preserve">"Об утверждении Порядка учета бюджетных и денежных обязательств получателей средств бюджета города Перми"</w:t>
            </w:r>
          </w:p>
        </w:tc>
      </w:tr>
      <w:tr>
        <w:trPr>
          <w:trHeight w:val="2791" w:hRule="exact"/>
        </w:trPr>
        <w:tc>
          <w:tcPr>
            <w:tcW w:w="10207" w:type="dxa"/>
            <w:tcMar>
              <w:left w:w="80" w:type="dxa"/>
              <w:top w:w="60" w:type="dxa"/>
              <w:right w:w="80" w:type="dxa"/>
              <w:bottom w:w="60" w:type="dxa"/>
            </w:tcMar>
            <w:vAlign w:val="center"/>
          </w:tcPr>
          <w:p>
            <w:pPr>
              <w:pStyle w:val="Style_5"/>
              <w:spacing w:before="0" w:after="0" w:line="240" w:lineRule="auto"/>
              <w:ind w:left="0" w:firstLine="0"/>
              <w:jc w:val="center"/>
              <w:rPr>
                <w:rFonts w:ascii="Tahoma" w:hAnsi="Tahoma" w:eastAsia="Tahoma" w:cs="Tahoma"/>
                <w:b w:val="0"/>
                <w:i w:val="0"/>
                <w:strike w:val="0"/>
                <w:sz w:val="28"/>
              </w:rPr>
            </w:pPr>
            <w:r>
              <w:rPr>
                <w:rFonts w:ascii="Tahoma" w:hAnsi="Tahoma" w:eastAsia="Tahoma" w:cs="Tahoma"/>
                <w:b w:val="0"/>
                <w:i w:val="0"/>
                <w:strike w:val="0"/>
                <w:sz w:val="28"/>
              </w:rPr>
              <w:t xml:space="preserve">Документ предоставлен </w:t>
            </w:r>
            <w:hyperlink r:id="rId11">
              <w:r>
                <w:rPr>
                  <w:rFonts w:ascii="Tahoma" w:hAnsi="Tahoma" w:eastAsia="Tahoma" w:cs="Tahoma"/>
                  <w:b/>
                  <w:i w:val="0"/>
                  <w:strike w:val="0"/>
                  <w:color w:val="0000ff"/>
                  <w:sz w:val="28"/>
                </w:rPr>
                <w:t xml:space="preserve">КонсультантПлюс</w:t>
              </w:r>
              <w:r>
                <w:rPr>
                  <w:rFonts w:ascii="Tahoma" w:hAnsi="Tahoma" w:eastAsia="Tahoma" w:cs="Tahoma"/>
                  <w:b/>
                  <w:i w:val="0"/>
                  <w:strike w:val="0"/>
                  <w:color w:val="0000ff"/>
                  <w:sz w:val="28"/>
                </w:rPr>
                <w:br/>
              </w:r>
              <w:r>
                <w:rPr>
                  <w:rFonts w:ascii="Tahoma" w:hAnsi="Tahoma" w:eastAsia="Tahoma" w:cs="Tahoma"/>
                  <w:b/>
                  <w:i w:val="0"/>
                  <w:strike w:val="0"/>
                  <w:color w:val="0000ff"/>
                  <w:sz w:val="28"/>
                </w:rPr>
                <w:br/>
              </w:r>
            </w:hyperlink>
            <w:hyperlink r:id="rId12">
              <w:r>
                <w:rPr>
                  <w:rFonts w:ascii="Tahoma" w:hAnsi="Tahoma" w:eastAsia="Tahoma" w:cs="Tahoma"/>
                  <w:b/>
                  <w:i w:val="0"/>
                  <w:strike w:val="0"/>
                  <w:color w:val="0000ff"/>
                  <w:sz w:val="28"/>
                </w:rPr>
                <w:t xml:space="preserve">www.consultant.ru</w:t>
              </w:r>
            </w:hyperlink>
            <w:r>
              <w:rPr>
                <w:rFonts w:ascii="Tahoma" w:hAnsi="Tahoma" w:eastAsia="Tahoma" w:cs="Tahoma"/>
                <w:b w:val="0"/>
                <w:i w:val="0"/>
                <w:strike w:val="0"/>
                <w:sz w:val="28"/>
              </w:rPr>
              <w:br/>
            </w:r>
            <w:r>
              <w:rPr>
                <w:rFonts w:ascii="Tahoma" w:hAnsi="Tahoma" w:eastAsia="Tahoma" w:cs="Tahoma"/>
                <w:b w:val="0"/>
                <w:i w:val="0"/>
                <w:strike w:val="0"/>
                <w:sz w:val="28"/>
              </w:rPr>
              <w:br/>
            </w:r>
            <w:r>
              <w:rPr>
                <w:rFonts w:ascii="Tahoma" w:hAnsi="Tahoma" w:eastAsia="Tahoma" w:cs="Tahoma"/>
                <w:b w:val="0"/>
                <w:i w:val="0"/>
                <w:strike w:val="0"/>
                <w:sz w:val="28"/>
              </w:rPr>
              <w:t xml:space="preserve">Дата сохранения: 29.01.2025</w:t>
            </w:r>
            <w:r>
              <w:rPr>
                <w:rFonts w:ascii="Tahoma" w:hAnsi="Tahoma" w:eastAsia="Tahoma" w:cs="Tahoma"/>
                <w:b w:val="0"/>
                <w:i w:val="0"/>
                <w:strike w:val="0"/>
                <w:sz w:val="28"/>
              </w:rPr>
              <w:br/>
            </w:r>
            <w:r>
              <w:rPr>
                <w:rFonts w:ascii="Tahoma" w:hAnsi="Tahoma" w:eastAsia="Tahoma" w:cs="Tahoma"/>
                <w:b w:val="0"/>
                <w:i w:val="0"/>
                <w:strike w:val="0"/>
                <w:sz w:val="28"/>
              </w:rPr>
              <w:t xml:space="preserve"> </w:t>
            </w:r>
          </w:p>
        </w:tc>
      </w:tr>
    </w:tbl>
    <w:p>
      <w:pPr>
        <w:pStyle w:val="Style_0"/>
        <w:spacing w:before="0" w:after="0" w:line="240" w:lineRule="auto"/>
        <w:ind w:left="0" w:firstLine="0"/>
        <w:jc w:val="both"/>
        <w:outlineLvl w:val="0"/>
        <w:rPr>
          <w:rFonts w:ascii="Times New Roman" w:hAnsi="Times New Roman" w:eastAsia="Times New Roman" w:cs="Times New Roman"/>
          <w:b w:val="0"/>
          <w:i w:val="0"/>
          <w:strike w:val="0"/>
          <w:sz w:val="24"/>
        </w:rPr>
      </w:pPr>
    </w:p>
    <w:p>
      <w:pPr>
        <w:sectPr>
          <w:type w:val="nextPage"/>
          <w:pgSz w:w="11906" w:h="16838"/>
          <w:pgMar w:top="1440" w:right="566" w:bottom="1440" w:left="1133" w:header="0" w:footer="0" w:gutter="0"/>
          <w:cols w:num="1" w:space="720"/>
          <w:docGrid w:linePitch="360"/>
        </w:sectPr>
      </w:pPr>
    </w:p>
    <w:p>
      <w:pPr>
        <w:pStyle w:val="Style_0"/>
        <w:spacing w:before="0" w:after="0" w:line="240" w:lineRule="auto"/>
        <w:ind w:left="0" w:firstLine="0"/>
        <w:jc w:val="both"/>
        <w:outlineLvl w:val="0"/>
        <w:rPr>
          <w:rFonts w:ascii="Times New Roman" w:hAnsi="Times New Roman" w:eastAsia="Times New Roman" w:cs="Times New Roman"/>
          <w:b w:val="0"/>
          <w:i w:val="0"/>
          <w:strike w:val="0"/>
          <w:sz w:val="24"/>
        </w:rPr>
      </w:pPr>
    </w:p>
    <w:p>
      <w:pPr>
        <w:pStyle w:val="Style_2"/>
        <w:spacing w:before="0" w:after="0" w:line="240" w:lineRule="auto"/>
        <w:ind w:left="0" w:firstLine="0"/>
        <w:jc w:val="center"/>
        <w:outlineLvl w:val="0"/>
        <w:rPr>
          <w:rFonts w:ascii="Arial" w:hAnsi="Arial" w:eastAsia="Arial" w:cs="Arial"/>
          <w:b/>
          <w:i w:val="0"/>
          <w:strike w:val="0"/>
          <w:sz w:val="24"/>
        </w:rPr>
      </w:pPr>
      <w:r>
        <w:rPr>
          <w:rFonts w:ascii="Arial" w:hAnsi="Arial" w:eastAsia="Arial" w:cs="Arial"/>
          <w:b/>
          <w:i w:val="0"/>
          <w:strike w:val="0"/>
          <w:sz w:val="24"/>
        </w:rPr>
        <w:t xml:space="preserve">АДМИНИСТРАЦИЯ ГОРОДА ПЕРМИ</w:t>
      </w:r>
    </w:p>
    <w:p>
      <w:pPr>
        <w:pStyle w:val="Style_2"/>
        <w:spacing w:before="0" w:after="0" w:line="240" w:lineRule="auto"/>
        <w:ind w:left="0" w:firstLine="0"/>
        <w:jc w:val="center"/>
        <w:rPr>
          <w:rFonts w:ascii="Arial" w:hAnsi="Arial" w:eastAsia="Arial" w:cs="Arial"/>
          <w:b/>
          <w:i w:val="0"/>
          <w:strike w:val="0"/>
          <w:sz w:val="24"/>
        </w:rPr>
      </w:pP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ЗАМЕСТИТЕЛЬ ГЛАВЫ АДМИНИСТРАЦИИ ГОРОДА ПЕРМИ -</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НАЧАЛЬНИК ДЕПАРТАМЕНТА ФИНАНСОВ</w:t>
      </w:r>
    </w:p>
    <w:p>
      <w:pPr>
        <w:pStyle w:val="Style_2"/>
        <w:spacing w:before="0" w:after="0" w:line="240" w:lineRule="auto"/>
        <w:ind w:left="0" w:firstLine="0"/>
        <w:jc w:val="center"/>
        <w:rPr>
          <w:rFonts w:ascii="Arial" w:hAnsi="Arial" w:eastAsia="Arial" w:cs="Arial"/>
          <w:b/>
          <w:i w:val="0"/>
          <w:strike w:val="0"/>
          <w:sz w:val="24"/>
        </w:rPr>
      </w:pP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РАСПОРЯЖЕНИЕ</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от 28 декабря 2017 г. N СЭД-059-06-01.01-03-р-192</w:t>
      </w:r>
    </w:p>
    <w:p>
      <w:pPr>
        <w:pStyle w:val="Style_2"/>
        <w:spacing w:before="0" w:after="0" w:line="240" w:lineRule="auto"/>
        <w:ind w:left="0" w:firstLine="0"/>
        <w:jc w:val="center"/>
        <w:rPr>
          <w:rFonts w:ascii="Arial" w:hAnsi="Arial" w:eastAsia="Arial" w:cs="Arial"/>
          <w:b/>
          <w:i w:val="0"/>
          <w:strike w:val="0"/>
          <w:sz w:val="24"/>
        </w:rPr>
      </w:pP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ОБ УТВЕРЖДЕНИИ ПОРЯДКА УЧЕТА БЮДЖЕТНЫХ И ДЕНЕЖНЫХ</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ОБЯЗАТЕЛЬСТВ ПОЛУЧАТЕЛЕЙ СРЕДСТВ БЮДЖЕТА ГОРОДА ПЕРМИ</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распоряжений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02.04.2019 N 059-06-01.01-03-р-24 (ред. 02.04.2019),</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20.01.2020 N 059-06-01.01-03-р-4 (ред. 20.01.2020),</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03.02.2021 N 059-06-01.01-03-р-23 (ред. 03.02.2021),</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27.01.2022 N 059-06-01.01-03-р-20, от 03.03.2023 N 059-06-01.01-03-р-52,</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28.12.2023 N 059-06-01.01-03-р-306)</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соответствии со статьей 219 Бюджетного кодекса Российской Федерации: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(преамбула введена распоряжением Начальника департамента финансов Администрации г. Перми от 20.01.2020 N 059-06-01.01-03-р-4)</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 Утвердить </w:t>
      </w:r>
      <w:hyperlink>
        <w:r>
          <w:rPr>
            <w:rFonts w:ascii="Times New Roman" w:hAnsi="Times New Roman" w:eastAsia="Times New Roman" w:cs="Times New Roman"/>
            <w:b w:val="0"/>
            <w:i w:val="0"/>
            <w:strike w:val="0"/>
            <w:color w:val="0000ff"/>
            <w:sz w:val="24"/>
          </w:rPr>
          <w:t xml:space="preserve">Порядок</w:t>
        </w:r>
      </w:hyperlink>
      <w:r>
        <w:rPr>
          <w:rFonts w:ascii="Times New Roman" w:hAnsi="Times New Roman" w:eastAsia="Times New Roman" w:cs="Times New Roman"/>
          <w:b w:val="0"/>
          <w:i w:val="0"/>
          <w:strike w:val="0"/>
          <w:sz w:val="24"/>
        </w:rPr>
        <w:t xml:space="preserve"> учета бюджетных и денежных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 Признать утратившим силу: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Приказ департамента финансов администрации города Перми от 16 июля 2009 г.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3 мая 2012 г. N СЭД-06-01-01-р-31 "О внесении изменений в Приказ начальника департамента финансов администрации города Перми от 16.07.2009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26 июня 2012 г. N СЭД-06-01-01-р-48 "О внесении изменений в Приказ начальника департамента финансов администрации города Перми от 16.07.2009 N 93-о";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31 октября 2012 г. N СЭД-06-01-01-р-92 "О внесении изменений в Приказ департамента финансов администрации города Перми от 16.07.2009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18 ноября 2013 г. N СЭД-06-01-03-р-73 "О внесении изменений в Приказ начальника департамента финансов администрации города Перми от 16.07.2009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4 марта 2014 г. N СЭД-06-01-03-р-12 "О внесении изменений в Приказ от 16.07.2009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15 октября 2014 г. N СЭД-06-01-03-р-112 "О внесении изменений в Приказ начальника департамента финансов администрации города Перми от 16.07.2009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5 июня 2015 г. N СЭД-06-01-03-р-83 "О внесении изменений в Приказ департамента финансов администрации города Перми от 16.07.2009 N 93-о "Об утверждении Порядка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16 декабря 2015 г. N СЭД-06-01-03-р-201 "О внесении изменений в Порядок учета бюджетных обязательств получателей средств бюджета города Перми, утвержденный Приказом департамента финансов администрации города Перми от 16.07.2009 N 93-о";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21 июля 2016 г. N СЭД-06-01.01-03-р-116 "О внесении изменений в Приказ департамента финансов администрации города Перми от 16.07.2009 N 93-о "Об утверждении Порядка учета бюджетных обязательств получателей средств бюджета города Перми" и в Порядок учета бюджетных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 Начальнику управления казначейства департамента финансов администрации города Перми Молчановой Н.П. обеспечить исполнение настоящего распоряжения.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 Начальнику управления по обеспечению деятельности департамента финансов администрации города Перми Канзепаровой И.В.: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4.1. обеспечить техническое сопровождение настоящего распоряжения;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4.2. разместить настоящее распоряжение на сайте департамента финансов администрации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 Настоящее распоряжение вступает в силу с 1 января 2018 г.</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 Контроль за исполнением настоящего распоряжения возложить на начальника управления казначейства департамента финансов администрации города Перми Молчанову Н.П.</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В.С.ТИТЯПКИНА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0"/>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заместителя главы</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администрации города Перми -</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28.12.2017 N СЭД-059-06-01.01-03-р-192</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rPr>
          <w:rFonts w:ascii="Arial" w:hAnsi="Arial" w:eastAsia="Arial" w:cs="Arial"/>
          <w:b/>
          <w:i w:val="0"/>
          <w:strike w:val="0"/>
          <w:sz w:val="24"/>
        </w:rPr>
      </w:pPr>
      <w:bookmarkStart w:id="1" w:name="Par56"/>
      <w:bookmarkEnd w:id="1"/>
      <w:r>
        <w:rPr>
          <w:rFonts w:ascii="Arial" w:hAnsi="Arial" w:eastAsia="Arial" w:cs="Arial"/>
          <w:b/>
          <w:i w:val="0"/>
          <w:strike w:val="0"/>
          <w:sz w:val="24"/>
        </w:rPr>
        <w:t xml:space="preserve">ПОРЯДОК</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УЧЕТА БЮДЖЕТНЫХ И ДЕНЕЖНЫХ ОБЯЗАТЕЛЬСТВ ПОЛУЧАТЕЛЕЙ СРЕДСТВ</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БЮДЖЕТА ГОРОДА ПЕРМИ</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распоряжений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02.04.2019 N 059-06-01.01-03-р-24 (ред. 02.04.2019),</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20.01.2020 N 059-06-01.01-03-р-4 (ред. 20.01.2020),</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03.02.2021 N 059-06-01.01-03-р-23 (ред. 03.02.2021),</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27.01.2022 N 059-06-01.01-03-р-20, от 03.03.2023 N 059-06-01.01-03-р-52,</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28.12.2023 N 059-06-01.01-03-р-306)</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outlineLvl w:val="1"/>
        <w:rPr>
          <w:rFonts w:ascii="Arial" w:hAnsi="Arial" w:eastAsia="Arial" w:cs="Arial"/>
          <w:b/>
          <w:i w:val="0"/>
          <w:strike w:val="0"/>
          <w:sz w:val="24"/>
        </w:rPr>
      </w:pPr>
      <w:r>
        <w:rPr>
          <w:rFonts w:ascii="Arial" w:hAnsi="Arial" w:eastAsia="Arial" w:cs="Arial"/>
          <w:b/>
          <w:i w:val="0"/>
          <w:strike w:val="0"/>
          <w:sz w:val="24"/>
        </w:rPr>
        <w:t xml:space="preserve">I. Общие положения</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1.1. Настоящий Порядок учета бюджетных и денежных обязательств получателей средств бюджета города Перми (далее - Порядок) устанавливает порядок исполнения бюджета города Перми по расходам в части учета департаментом финансов администрации города Перми (далее - департамент финансов) бюджетных и денежных обязательств получателей средств бюджета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1.2. Уполномоченным структурным подразделением департамента финансов по постановке на учет бюджетных и денежных обязательств получателей средств бюджета города Перми (далее - соответственно бюджетные обязательства, денежные обязательства, получатель средств) является управление казначейства.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Получатель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 исполненными бюджетными обязательствами.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(абзац введен распоряжением Начальника департамента финансов Администрации г. Перми от 03.02.2021 N 059-06-01.01-03-р-23)</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1.3. Постановка на учет бюджетных обязательств в департаменте финансов производится в пределах доведенных до получателей средств лимитов бюджетных обязательств на текущий финансовый год и плановый период с учетом ранее принятых и неисполненных обязательств по кодам бюджетной классификации расходов бюджетов Российской Федерации, дополнительным кодам расходов в автоматизированной системе "АЦК-Финансы", за исключением бюджетных обязательств, возникших у получателя средств по оплате труда, начислениям на выплаты по оплате труда (за исключением выплат персоналу в натуральной форме, возмещения персоналу дополнительных расходов, связанных с проживанием вне места постоянного жительства в служебных командировках), социальных пособий и компенсаций персоналу в денежной форме.</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распоряжений Начальника департамента финансов Администрации г. Перми от 03.02.2021 N 059-06-01.01-03-р-23, от 28.12.2023 N 059-06-01.01-03-р-306)</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1.4. Бюджетные и денежные обязательства учитываются на лицевом счете получателя средств или на лицевом счете для учета операций по переданным полномочиям получателя бюджетных средств, открытых в департаменте финансов в установленном порядке.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1.5. Учет денежных обязательств осуществляется в пределах учтенных в департаменте финансов бюджетных обязательств.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1.6. Постановка на учет бюджетных и денежных обязательств осуществляется на основании документов, предусмотренных </w:t>
      </w:r>
      <w:hyperlink>
        <w:r>
          <w:rPr>
            <w:rFonts w:ascii="Times New Roman" w:hAnsi="Times New Roman" w:eastAsia="Times New Roman" w:cs="Times New Roman"/>
            <w:b w:val="0"/>
            <w:i w:val="0"/>
            <w:strike w:val="0"/>
            <w:color w:val="0000ff"/>
            <w:sz w:val="24"/>
          </w:rPr>
          <w:t xml:space="preserve">Перечнем</w:t>
        </w:r>
      </w:hyperlink>
      <w:r>
        <w:rPr>
          <w:rFonts w:ascii="Times New Roman" w:hAnsi="Times New Roman" w:eastAsia="Times New Roman" w:cs="Times New Roman"/>
          <w:b w:val="0"/>
          <w:i w:val="0"/>
          <w:strike w:val="0"/>
          <w:sz w:val="24"/>
        </w:rPr>
        <w:t xml:space="preserve">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1 к настоящему Порядку (далее - Перечень).</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1.7. Бюджетные и денежные обязательства формируются получателями средств в форме электронных документов путем заполнения экранных форм в автоматизированной системе "АЦК-Финансы", "АЦК-Планирование" или региональной информационной системе в сфере закупок товаров, работ, услуг для обеспечения государственных нужд Пермского края (далее соответственно - АЦК-Финансы, АЦК-Планирование и РИС Закупки ПК).</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распоряжений Начальника департамента финансов Администрации г. Перми от 02.04.2019 N 059-06-01.01-03-р-24, от 03.02.2021 N 059-06-01.01-03-р-23)</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Бюджетные обязательства, возникающие при осуществлении закупок товаров, работ, услуг для обеспечения муниципальных нужд с учетом положений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формируются получателем средств в РИС Закупки ПК.</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02.04.2019 N 059-06-01.01-03-р-24)</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Бюджетные обязательства, возникающие при заключении соглашений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 соглашений о предоставлении муниципальному бюджетному или автономному учреждению субсидии на иные цели из бюджета города Перми, соглашений о предоставлении муниципальному бюджетному или автономному учреждению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формируются и подписываются электронной подписью получателем средств в АЦК-Планирование с дальнейшей автоматической регистрацией в АЦК-Финансы.</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(абзац введен распоряжением Начальника департамента финансов Администрации г. Перми от 03.02.2021 N 059-06-01.01-03-р-23; 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1.8. Документы, подтверждающие принятие получателем средств бюджетного обязательства (далее - документ-основание), возникновение денежного обязательства (далее - документ, подтверждающий возникновение денежного обязательства), прилагаются к электронным документам в АЦК-Финансы в виде копий документов, созданных посредством сканирования бумажных документов, или сформированных в цифровой форме и подписанных электронной подписью в иных системах документооборота электронных документов (далее - электронные копии).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отсутствия технической возможности прикрепить в электронном виде документы-основания при постановке на учет бюджетных обязательств, документы, подтверждающие возникновение денежных обязательств, при постановке на учет денежных обязательств получатель средств имеет право представить документы-основания, документы, подтверждающие возникновение денежных обязательств, на бумажном носителе с сопроводительным письмом с указанием причины отсутствия технической возможности.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Ответственность за достоверность представленных документов-оснований, документов, подтверждающих возникновение денежных обязательств, несет получатель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 подписании документа-основания, документов, подтверждающих возникновение денежного обязательства, от имени заказчика не руководителем получателя средств - дополнительно для постановки на учет бюджетных обязательств, денежных обязательств в департамент финансов представляется документ, подтверждающий полномочия лица, подписавшего документ от имени заказчика.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если бумажный вариант документа-основания, документа, подтверждающего возникновение денежного обязательства, состоит из двух или более листов, электронная копия формируется в виде одного файла.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1.9. Электронный документооборот с применением усиленной квалифицированной электронной подписи (далее - ЭП) осуществляется в соответствии с законодательством Российской Федерации на основании договора об обмене электронными документами между участниками юридически значимого электронного документооборота в сфере управления финансами.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outlineLvl w:val="1"/>
        <w:rPr>
          <w:rFonts w:ascii="Arial" w:hAnsi="Arial" w:eastAsia="Arial" w:cs="Arial"/>
          <w:b/>
          <w:i w:val="0"/>
          <w:strike w:val="0"/>
          <w:sz w:val="24"/>
        </w:rPr>
      </w:pPr>
      <w:r>
        <w:rPr>
          <w:rFonts w:ascii="Arial" w:hAnsi="Arial" w:eastAsia="Arial" w:cs="Arial"/>
          <w:b/>
          <w:i w:val="0"/>
          <w:strike w:val="0"/>
          <w:sz w:val="24"/>
        </w:rPr>
        <w:t xml:space="preserve">II. Порядок учета бюджетных обязательств</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bookmarkStart w:id="2" w:name="Par93"/>
      <w:bookmarkEnd w:id="2"/>
      <w:r>
        <w:rPr>
          <w:rFonts w:ascii="Times New Roman" w:hAnsi="Times New Roman" w:eastAsia="Times New Roman" w:cs="Times New Roman"/>
          <w:b w:val="0"/>
          <w:i w:val="0"/>
          <w:strike w:val="0"/>
          <w:sz w:val="24"/>
        </w:rPr>
        <w:t xml:space="preserve">2.1. Постановка на учет бюджетных обязательств по документу-основанию, предусмотренному </w:t>
      </w:r>
      <w:hyperlink>
        <w:r>
          <w:rPr>
            <w:rFonts w:ascii="Times New Roman" w:hAnsi="Times New Roman" w:eastAsia="Times New Roman" w:cs="Times New Roman"/>
            <w:b w:val="0"/>
            <w:i w:val="0"/>
            <w:strike w:val="0"/>
            <w:color w:val="0000ff"/>
            <w:sz w:val="24"/>
          </w:rPr>
          <w:t xml:space="preserve">пунктом 1 графы 2</w:t>
        </w:r>
      </w:hyperlink>
      <w:r>
        <w:rPr>
          <w:rFonts w:ascii="Times New Roman" w:hAnsi="Times New Roman" w:eastAsia="Times New Roman" w:cs="Times New Roman"/>
          <w:b w:val="0"/>
          <w:i w:val="0"/>
          <w:strike w:val="0"/>
          <w:sz w:val="24"/>
        </w:rPr>
        <w:t xml:space="preserve"> Перечня, осуществляется после его внесения в реестр контрактов, заключенных заказчиками, информация о которых подлежит размещению в единой информационной системе в сфере закупок, в порядке, установленном Постановлением Правительства Российской Федерации от 27 января 2022 г. N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28.12.2023 N 059-06-01.01-03-р-306)</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2.2. Основанием для постановки на учет бюджетных обязательств (внесения изменений в поставленные на учет бюджетные обязательства) по документу-основанию, предусмотренному </w:t>
      </w:r>
      <w:hyperlink>
        <w:r>
          <w:rPr>
            <w:rFonts w:ascii="Times New Roman" w:hAnsi="Times New Roman" w:eastAsia="Times New Roman" w:cs="Times New Roman"/>
            <w:b w:val="0"/>
            <w:i w:val="0"/>
            <w:strike w:val="0"/>
            <w:color w:val="0000ff"/>
            <w:sz w:val="24"/>
          </w:rPr>
          <w:t xml:space="preserve">пунктами 1</w:t>
        </w:r>
      </w:hyperlink>
      <w:r>
        <w:rPr>
          <w:rFonts w:ascii="Times New Roman" w:hAnsi="Times New Roman" w:eastAsia="Times New Roman" w:cs="Times New Roman"/>
          <w:b w:val="0"/>
          <w:i w:val="0"/>
          <w:strike w:val="0"/>
          <w:sz w:val="24"/>
        </w:rPr>
        <w:t xml:space="preserve">, </w:t>
      </w:r>
      <w:hyperlink>
        <w:r>
          <w:rPr>
            <w:rFonts w:ascii="Times New Roman" w:hAnsi="Times New Roman" w:eastAsia="Times New Roman" w:cs="Times New Roman"/>
            <w:b w:val="0"/>
            <w:i w:val="0"/>
            <w:strike w:val="0"/>
            <w:color w:val="0000ff"/>
            <w:sz w:val="24"/>
          </w:rPr>
          <w:t xml:space="preserve">2</w:t>
        </w:r>
      </w:hyperlink>
      <w:r>
        <w:rPr>
          <w:rFonts w:ascii="Times New Roman" w:hAnsi="Times New Roman" w:eastAsia="Times New Roman" w:cs="Times New Roman"/>
          <w:b w:val="0"/>
          <w:i w:val="0"/>
          <w:strike w:val="0"/>
          <w:sz w:val="24"/>
        </w:rPr>
        <w:t xml:space="preserve">, </w:t>
      </w:r>
      <w:hyperlink>
        <w:r>
          <w:rPr>
            <w:rFonts w:ascii="Times New Roman" w:hAnsi="Times New Roman" w:eastAsia="Times New Roman" w:cs="Times New Roman"/>
            <w:b w:val="0"/>
            <w:i w:val="0"/>
            <w:strike w:val="0"/>
            <w:color w:val="0000ff"/>
            <w:sz w:val="24"/>
          </w:rPr>
          <w:t xml:space="preserve">4</w:t>
        </w:r>
      </w:hyperlink>
      <w:r>
        <w:rPr>
          <w:rFonts w:ascii="Times New Roman" w:hAnsi="Times New Roman" w:eastAsia="Times New Roman" w:cs="Times New Roman"/>
          <w:b w:val="0"/>
          <w:i w:val="0"/>
          <w:strike w:val="0"/>
          <w:sz w:val="24"/>
        </w:rPr>
        <w:t xml:space="preserve">-</w:t>
      </w:r>
      <w:hyperlink>
        <w:r>
          <w:rPr>
            <w:rFonts w:ascii="Times New Roman" w:hAnsi="Times New Roman" w:eastAsia="Times New Roman" w:cs="Times New Roman"/>
            <w:b w:val="0"/>
            <w:i w:val="0"/>
            <w:strike w:val="0"/>
            <w:color w:val="0000ff"/>
            <w:sz w:val="24"/>
          </w:rPr>
          <w:t xml:space="preserve">7 графы 2</w:t>
        </w:r>
      </w:hyperlink>
      <w:r>
        <w:rPr>
          <w:rFonts w:ascii="Times New Roman" w:hAnsi="Times New Roman" w:eastAsia="Times New Roman" w:cs="Times New Roman"/>
          <w:b w:val="0"/>
          <w:i w:val="0"/>
          <w:strike w:val="0"/>
          <w:sz w:val="24"/>
        </w:rPr>
        <w:t xml:space="preserve"> Перечня, является электронный документ "Договор" (далее - Договор), подписанный ЭП.</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2.3. Основанием для постановки на учет бюджетных обязательств (внесения изменений в поставленные на учет бюджетные обязательства), возникших в соответствии с документами-основаниями, предусмотренными </w:t>
      </w:r>
      <w:hyperlink>
        <w:r>
          <w:rPr>
            <w:rFonts w:ascii="Times New Roman" w:hAnsi="Times New Roman" w:eastAsia="Times New Roman" w:cs="Times New Roman"/>
            <w:b w:val="0"/>
            <w:i w:val="0"/>
            <w:strike w:val="0"/>
            <w:color w:val="0000ff"/>
            <w:sz w:val="24"/>
          </w:rPr>
          <w:t xml:space="preserve">пунктом 3 графы 2</w:t>
        </w:r>
      </w:hyperlink>
      <w:r>
        <w:rPr>
          <w:rFonts w:ascii="Times New Roman" w:hAnsi="Times New Roman" w:eastAsia="Times New Roman" w:cs="Times New Roman"/>
          <w:b w:val="0"/>
          <w:i w:val="0"/>
          <w:strike w:val="0"/>
          <w:sz w:val="24"/>
        </w:rPr>
        <w:t xml:space="preserve"> Перечня, является электронный документ "Соглашение о порядке и условиях предоставления субсидий".</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2.4. Утратил силу. - Распоряжение Начальника департамента финансов Администрации г. Перми от 28.12.2023 N 059-06-01.01-03-р-306.</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2.5. Для постановки на учет бюджетных обязательств получателями средств одновременно с документом-основанием могут представляться в департамент финансов иные документы, подтверждающие обоснованность принятия бюджетных обязательств.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3" w:name="Par100"/>
      <w:bookmarkEnd w:id="3"/>
      <w:r>
        <w:rPr>
          <w:rFonts w:ascii="Times New Roman" w:hAnsi="Times New Roman" w:eastAsia="Times New Roman" w:cs="Times New Roman"/>
          <w:b w:val="0"/>
          <w:i w:val="0"/>
          <w:strike w:val="0"/>
          <w:sz w:val="24"/>
        </w:rPr>
        <w:t xml:space="preserve">2.6. Бюджетные обязательства, принятые получателем средств, подлежат представлению для постановки на учет в департамент финансов не позднее десяти рабочих дней со дня заключения документа-основания или доведения в установленном порядке соответствующих лимитов бюджетных обязательств до получателя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2.7. Договор подписывается ЭП получателя средств в АЦК-Финансы. При отсутствии технической возможности подписания ЭП получатели средств имеют право представить Договор на бумажном носителе, подписанный лицами, включенными в карточку образцов подписей и оттиска печати, заверенные печатью, с сопроводительным письмом, прикрепленным в виде файла, с указанием причины отсутствия технической возможности.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 2.7 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2.8. Представленные документы подлежат проверке на соответствие: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2.8.1. суммы, указанной в документе-основании, сумме по Договору и остатку лимита бюджетных обязательств по соответствующим кодам бюджетной классификации расходов бюджетов Российской Федерации, дополнительным кодам расходов, отраженному на лицевом счете получателя бюджетных средств или на лицевом счете для учета операций по переданным полномочиям получателя бюджетных средств, отдельно для текущего финансового года, для первого и второго года планового периода;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распоряжений Начальника департамента финансов Администрации г. Перми от 03.02.2021 N 059-06-01.01-03-р-23,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2.8.2. информации о бюджетном обязательстве, указанной в Договоре, документам-основаниям, подлежащим представлению получателями средств в департамент финансов для постановки на учет бюджетных обязательств в соответствии с настоящим Порядком;</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2.8.3. предмета бюджетного обязательства, указанного в Договоре, коду бюджетной классификации расходов бюджетов Российской Федерации, указанному по соответствующей строке данного Договора;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2.8.4. информации, содержащейся в Договоре, информации о контракте, включенном в реестр контрактов, заключенных заказчиками, информация о которых подлежит размещению в единой информационной системе в сфере закупок.</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2.9. Реквизиты и показатели Договоров, представленных получателем средств на бумажном носителе, подлежат проверке управлением казначейства на соответствие реквизитам и показателям, содержащимся в Договорах в электронном виде.</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2.10. Постановка на учет бюджетного обязательства, возникшего по документу-основанию, в неполном объеме не допускается, за исключением: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2.10.1. утратил силу. - Распоряжение Начальника департамента финансов Администрации г. Перми от 03.02.2021 N 059-06-01.01-03-р-23;</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2.10.2. регистрации получателем средств документа-основания, заключенного сверх остатка лимита бюджетных обязательств на текущий финансовый год и плановый период. Департамент финансов принимает на учет бюджетное обязательство и не позднее 10 рабочих дней, следующих за днем постановки на учет бюджетного обязательства, информирует об этом получателя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2.11. Постановка на учет бюджетных обязательств проводится не позднее дня, следующего за днем представления документов.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2.12. В случае отрицательного результата проверки на соответствие требованиям, установленным настоящим Порядком, ответственный сотрудник департамента финансов переводит Договор на статус "Отказан" с указанием причины отказа в электронном виде через АЦК-Финансы.</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2.13. В случае положительного результата проверки на соответствие требованиям, установленным настоящим Порядком, ответственный сотрудник департамента финансов переводит Договор на статус "Зарегистрирован", после чего АЦК-Финансы учитывает бюджетное обязательство (вносит изменения в ранее поставленное на учет бюджетное обязательство) посредством перевода автоматически сформированного из соответствующего Договора, электронного документа "Бюджетное обязательство" на статус "Исполнение" с присвоением ему учетного номера.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2.14. 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Учетный номер бюджетного обязательства имеет следующую структуру, состоящую из девятнадцати разрядов: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 1 по 8 разряд - уникальный код получателя средств по реестру участников бюджетного процесса, а также юридических лиц, не являющихся участниками бюджетного процесса;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 и 10 разряды - последние две цифры года, в котором бюджетное обязательство поставлено на учет;</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 11 по 19 разряд - уникальный номер бюджетного обязательства, присваивается автоматически в рамках одного календарного года.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2.15. В случае если Договор содержит несколько позиций кода бюджетной классификации расходов Российской Федерации, дополнительных кодов расходов, бюджетное обязательство принимается по каждой позиции кода бюджетной классификации расходов Российской Федерации, дополнительного кода расходов.</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2.16. Бюджетные обязательства, поставленные на учет в департаменте финансов на определенную дату, подлежащие исполнению в текущем году, отражаются в журнале регистрации договоров на принятие бюджетных обязательств (далее - Журнал бюджетных обязательств). Журнал бюджетных обязательств ведется в электронном виде.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2.17. Внесение изменений в отдельные реквизиты бюджетного обязательства осуществляется путем перерегистрации Договора в следующих случаях:</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2.17.1. изменения кодов классификации по бюджетному обязательству;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2.17.2. изменения срока действия принятого на учет бюджетного обязательства;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2.17.3. изменения суммы принятого на учет бюджетного обязательства;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2.17.4. изменения реквизитов поставщика (исполнителя);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2.17.5. иных случаях заключения дополнительного соглашения к документу-основанию.</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Департамент финансов производит перерегистрацию поставленного на учет бюджетного обязательства на основании документов-оснований, подтверждающих необходимость перерегистрации бюджетного обязательства, в соответствии с </w:t>
      </w:r>
      <w:hyperlink>
        <w:r>
          <w:rPr>
            <w:rFonts w:ascii="Times New Roman" w:hAnsi="Times New Roman" w:eastAsia="Times New Roman" w:cs="Times New Roman"/>
            <w:b w:val="0"/>
            <w:i w:val="0"/>
            <w:strike w:val="0"/>
            <w:color w:val="0000ff"/>
            <w:sz w:val="24"/>
          </w:rPr>
          <w:t xml:space="preserve">пунктами 2.1</w:t>
        </w:r>
      </w:hyperlink>
      <w:r>
        <w:rPr>
          <w:rFonts w:ascii="Times New Roman" w:hAnsi="Times New Roman" w:eastAsia="Times New Roman" w:cs="Times New Roman"/>
          <w:b w:val="0"/>
          <w:i w:val="0"/>
          <w:strike w:val="0"/>
          <w:sz w:val="24"/>
        </w:rPr>
        <w:t xml:space="preserve">-</w:t>
      </w:r>
      <w:hyperlink>
        <w:r>
          <w:rPr>
            <w:rFonts w:ascii="Times New Roman" w:hAnsi="Times New Roman" w:eastAsia="Times New Roman" w:cs="Times New Roman"/>
            <w:b w:val="0"/>
            <w:i w:val="0"/>
            <w:strike w:val="0"/>
            <w:color w:val="0000ff"/>
            <w:sz w:val="24"/>
          </w:rPr>
          <w:t xml:space="preserve">2.6</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внесения изменений в бюджетное обязательство без внесения изменений в документ-основание документ-основание в департамент финансов повторно не представляется.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2.18. Снятие бюджетного обязательства, сформированного в АЦК-Финансы, с регистрационного учета производится на основании документов-оснований, подтверждающих необходимость снятия бюджетного обязательства с учета, в соответствии с </w:t>
      </w:r>
      <w:hyperlink>
        <w:r>
          <w:rPr>
            <w:rFonts w:ascii="Times New Roman" w:hAnsi="Times New Roman" w:eastAsia="Times New Roman" w:cs="Times New Roman"/>
            <w:b w:val="0"/>
            <w:i w:val="0"/>
            <w:strike w:val="0"/>
            <w:color w:val="0000ff"/>
            <w:sz w:val="24"/>
          </w:rPr>
          <w:t xml:space="preserve">пунктами 2.1</w:t>
        </w:r>
      </w:hyperlink>
      <w:r>
        <w:rPr>
          <w:rFonts w:ascii="Times New Roman" w:hAnsi="Times New Roman" w:eastAsia="Times New Roman" w:cs="Times New Roman"/>
          <w:b w:val="0"/>
          <w:i w:val="0"/>
          <w:strike w:val="0"/>
          <w:sz w:val="24"/>
        </w:rPr>
        <w:t xml:space="preserve">-</w:t>
      </w:r>
      <w:hyperlink>
        <w:r>
          <w:rPr>
            <w:rFonts w:ascii="Times New Roman" w:hAnsi="Times New Roman" w:eastAsia="Times New Roman" w:cs="Times New Roman"/>
            <w:b w:val="0"/>
            <w:i w:val="0"/>
            <w:strike w:val="0"/>
            <w:color w:val="0000ff"/>
            <w:sz w:val="24"/>
          </w:rPr>
          <w:t xml:space="preserve">2.6</w:t>
        </w:r>
      </w:hyperlink>
      <w:r>
        <w:rPr>
          <w:rFonts w:ascii="Times New Roman" w:hAnsi="Times New Roman" w:eastAsia="Times New Roman" w:cs="Times New Roman"/>
          <w:b w:val="0"/>
          <w:i w:val="0"/>
          <w:strike w:val="0"/>
          <w:sz w:val="24"/>
        </w:rPr>
        <w:t xml:space="preserve"> настоящего Порядка и письменного обращения получателя средств по форме согласно </w:t>
      </w:r>
      <w:hyperlink>
        <w:r>
          <w:rPr>
            <w:rFonts w:ascii="Times New Roman" w:hAnsi="Times New Roman" w:eastAsia="Times New Roman" w:cs="Times New Roman"/>
            <w:b w:val="0"/>
            <w:i w:val="0"/>
            <w:strike w:val="0"/>
            <w:color w:val="0000ff"/>
            <w:sz w:val="24"/>
          </w:rPr>
          <w:t xml:space="preserve">приложению 2</w:t>
        </w:r>
      </w:hyperlink>
      <w:r>
        <w:rPr>
          <w:rFonts w:ascii="Times New Roman" w:hAnsi="Times New Roman" w:eastAsia="Times New Roman" w:cs="Times New Roman"/>
          <w:b w:val="0"/>
          <w:i w:val="0"/>
          <w:strike w:val="0"/>
          <w:sz w:val="24"/>
        </w:rPr>
        <w:t xml:space="preserve"> к настоящему Порядку.</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распоряжений Начальника департамента финансов Администрации г. Перми от 03.02.2021 N 059-06-01.01-03-р-23, от 03.03.2023 N 059-06-01.01-03-р-52)</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2.19. Бюджетные обязательства, не исполненные на конец текущего финансового года, подлежат постановке на учет в очередном финансовом году в срок до 1 марта. Не исполненные на конец текущего финансового года бюджетные обязательства принимаются на учет в соответствии с ведомостью контроля неисполненных бюджетных обязательств, сформированной департаментом финансов по состоянию на 1 января очередного финансового года.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28.12.2023 N 059-06-01.01-03-р-306)</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Для постановки на учет бюджетного обязательства и его исполнения в очередном финансовом году в департамент финансов получатели средств представляют пакет документов в соответствии с </w:t>
      </w:r>
      <w:hyperlink>
        <w:r>
          <w:rPr>
            <w:rFonts w:ascii="Times New Roman" w:hAnsi="Times New Roman" w:eastAsia="Times New Roman" w:cs="Times New Roman"/>
            <w:b w:val="0"/>
            <w:i w:val="0"/>
            <w:strike w:val="0"/>
            <w:color w:val="0000ff"/>
            <w:sz w:val="24"/>
          </w:rPr>
          <w:t xml:space="preserve">пунктами 2.1</w:t>
        </w:r>
      </w:hyperlink>
      <w:r>
        <w:rPr>
          <w:rFonts w:ascii="Times New Roman" w:hAnsi="Times New Roman" w:eastAsia="Times New Roman" w:cs="Times New Roman"/>
          <w:b w:val="0"/>
          <w:i w:val="0"/>
          <w:strike w:val="0"/>
          <w:sz w:val="24"/>
        </w:rPr>
        <w:t xml:space="preserve">-</w:t>
      </w:r>
      <w:hyperlink>
        <w:r>
          <w:rPr>
            <w:rFonts w:ascii="Times New Roman" w:hAnsi="Times New Roman" w:eastAsia="Times New Roman" w:cs="Times New Roman"/>
            <w:b w:val="0"/>
            <w:i w:val="0"/>
            <w:strike w:val="0"/>
            <w:color w:val="0000ff"/>
            <w:sz w:val="24"/>
          </w:rPr>
          <w:t xml:space="preserve">2.6</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 этом если коды бюджетной классификации Российской Федерации, дополнительные коды расходов, по которым бюджетное обязательство было поставлено на учет в текущем финансовом году, в очередном финансовом году являются недействующими, то регистрация бюджетного обязательства осуществляется по новым кодам бюджетной классификации Российской Федерации, дополнительным кодам расходов.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2.20. При реорганизации или ликвидации получателя средств неисполненные обязательства должны быть урегулированы в соответствии с действующим законодательством.</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outlineLvl w:val="1"/>
        <w:rPr>
          <w:rFonts w:ascii="Arial" w:hAnsi="Arial" w:eastAsia="Arial" w:cs="Arial"/>
          <w:b/>
          <w:i w:val="0"/>
          <w:strike w:val="0"/>
          <w:sz w:val="24"/>
        </w:rPr>
      </w:pPr>
      <w:r>
        <w:rPr>
          <w:rFonts w:ascii="Arial" w:hAnsi="Arial" w:eastAsia="Arial" w:cs="Arial"/>
          <w:b/>
          <w:i w:val="0"/>
          <w:strike w:val="0"/>
          <w:sz w:val="24"/>
        </w:rPr>
        <w:t xml:space="preserve">III. Особенности учета бюджетных обязательств</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по исполнительным документам, решениям налоговых органов</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3.1. Основанием для постановки на учет бюджетных обязательств (внесения изменений в поставленные на учет бюджетные обязательства) по документам-основаниям, предусмотренным </w:t>
      </w:r>
      <w:hyperlink>
        <w:r>
          <w:rPr>
            <w:rFonts w:ascii="Times New Roman" w:hAnsi="Times New Roman" w:eastAsia="Times New Roman" w:cs="Times New Roman"/>
            <w:b w:val="0"/>
            <w:i w:val="0"/>
            <w:strike w:val="0"/>
            <w:color w:val="0000ff"/>
            <w:sz w:val="24"/>
          </w:rPr>
          <w:t xml:space="preserve">пунктами 5</w:t>
        </w:r>
      </w:hyperlink>
      <w:r>
        <w:rPr>
          <w:rFonts w:ascii="Times New Roman" w:hAnsi="Times New Roman" w:eastAsia="Times New Roman" w:cs="Times New Roman"/>
          <w:b w:val="0"/>
          <w:i w:val="0"/>
          <w:strike w:val="0"/>
          <w:sz w:val="24"/>
        </w:rPr>
        <w:t xml:space="preserve">, </w:t>
      </w:r>
      <w:hyperlink>
        <w:r>
          <w:rPr>
            <w:rFonts w:ascii="Times New Roman" w:hAnsi="Times New Roman" w:eastAsia="Times New Roman" w:cs="Times New Roman"/>
            <w:b w:val="0"/>
            <w:i w:val="0"/>
            <w:strike w:val="0"/>
            <w:color w:val="0000ff"/>
            <w:sz w:val="24"/>
          </w:rPr>
          <w:t xml:space="preserve">6 графы 2</w:t>
        </w:r>
      </w:hyperlink>
      <w:r>
        <w:rPr>
          <w:rFonts w:ascii="Times New Roman" w:hAnsi="Times New Roman" w:eastAsia="Times New Roman" w:cs="Times New Roman"/>
          <w:b w:val="0"/>
          <w:i w:val="0"/>
          <w:strike w:val="0"/>
          <w:sz w:val="24"/>
        </w:rPr>
        <w:t xml:space="preserve"> Перечня, является Договор с приложением электронных копий указанных документов-оснований. Одновременно с документом-основанием представляется получателем средств, уведомление о поступлении в департамент финансов исполнительного документа или решения налогового органа, а также информация об источнике образования задолженности и кодах бюджетной классификации расходов Российской Федерации, дополнительных кодах расходов, по которым должны быть произведены расходы бюджета города Перми по исполнению исполнительного документа, решения налогового органа (далее - информация об источнике образования задолженности).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03.02.2021 N 059-06-01.01-03-р-23)</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недостаточности лимитов бюджетных обязательств для постановки на учет бюджетного обязательства по исполнению исполнительного документа или решения налогового органа дополнительно представляется направленный получателем средств функциональному или территориальному органу администрации города Перми, в ведении которого он находится, запрос-требование о необходимости выделения дополнительных лимитов бюджетных обязательств в целях исполнения исполнительного документа или решения налогового органа.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(абзац введен распоряжением Начальника департамента финансов Администрации г. Перми от 03.02.2021 N 059-06-01.01-03-р-23)</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3.2. Основанием для внесения изменений в ранее поставленное на учет бюджетное обязательство по исполнительному документу, решению налогового органа является Договор, содержащий уточненную информацию о кодах бюджетной классификации расходов Российской Федерации, дополнительных кодах расходов,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документа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электронных копий документов, предусмотренных настоящим пунктом.</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outlineLvl w:val="1"/>
        <w:rPr>
          <w:rFonts w:ascii="Arial" w:hAnsi="Arial" w:eastAsia="Arial" w:cs="Arial"/>
          <w:b/>
          <w:i w:val="0"/>
          <w:strike w:val="0"/>
          <w:sz w:val="24"/>
        </w:rPr>
      </w:pPr>
      <w:r>
        <w:rPr>
          <w:rFonts w:ascii="Arial" w:hAnsi="Arial" w:eastAsia="Arial" w:cs="Arial"/>
          <w:b/>
          <w:i w:val="0"/>
          <w:strike w:val="0"/>
          <w:sz w:val="24"/>
        </w:rPr>
        <w:t xml:space="preserve">IV. Порядок учета денежных обязательств</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Администрации г. Перми от 28.12.2023</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059-06-01.01-03-р-306)</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4.1. Денежные обязательства учитываются в пределах сумм, указанных в документах, подтверждающих возникновение денежного обязательства, представленных получателем средств для оплаты денежных обязательств в соответствии с Порядком исполнения бюджета города по расходам и источникам финансирования дефицита бюджета города, утвержденным департаментом финансов, без присвоения таким денежным обязательствам учетных номеров, за исключением денежных обязательств, учет которых осуществляется в соответствии с пунктами 4.2 - 4.8.</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4.2. Постановка на учет денежного обязательства и внесение изменений в поставленное на учет денежное обязательство, возникшего на основании электронного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в сфере закупок, осуществляется в АЦК-Финансы на основании электронного документа "Денежное обязательство" (далее - ЭД "Денежное обязательство"), сформированного автоматически на основании поступившего из РИС Закупки ПК электронного документа "Факт поставки", с прикрепленными к нему данными, полученными из единой информационной системы в сфере закупок о подписанных поставщиком и покупателем электронных документах о приемке.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4.3. После автоматического формирования в АЦК-Финансы ЭД "Денежное обязательство" получатель средств проверяет правильность сформированного электронного документа, при необходимости корректирует его, прикрепляет электронные копии иных документов, подтверждающих возникновение денежного обязательства, предусмотренных условиями документа-основания, и переводит на статус "Подготовлен" с дальнейшим наложением ЭП.</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4.4. Департамент финансов не позднее второго рабочего дня со дня поступления в АЦК-Финансы ЭД "Денежное обязательство" осуществляет проверку на соответствие информации о денежном обязательстве: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информации по соответствующему бюджетному обязательству, учтенному на соответствующем лицевом счете получателя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информации по соответствующему документу-основанию, документов, подтверждающих возникновение денежного обязательства.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4.5. В случае отрицательного результата проверки ответственный сотрудник департамента финансов отказывает в постановке на учет денежного обязательства путем перевода ЭД "Денежное обязательство" на статус "Отказан" с указанием причины отказа.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4.6. В случае положительного результата проверки ответственный сотрудник департамента финансов переводит ЭД "Денежное обязательство" на статус "Исполнение", после чего АЦК-Финансы учитывает денежное обязательство (вносит изменение в денежное обязательство) с присвоением ему учетного номера.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4.7. 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4.8. Учетный номер денежного обязательства имеет следующую структуру, состоящую из двадцати пяти разрядов: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 1 по 19 разряд - учетный номер соответствующего бюджетного обязательства;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 20 по 25 разряд - порядковый номер денежного обязательства.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1</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учета бюджетных и денежных</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обязательств получателей средств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бюджета города Перми</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rPr>
          <w:rFonts w:ascii="Arial" w:hAnsi="Arial" w:eastAsia="Arial" w:cs="Arial"/>
          <w:b/>
          <w:i w:val="0"/>
          <w:strike w:val="0"/>
          <w:sz w:val="24"/>
        </w:rPr>
      </w:pPr>
      <w:bookmarkStart w:id="4" w:name="Par184"/>
      <w:bookmarkEnd w:id="4"/>
      <w:r>
        <w:rPr>
          <w:rFonts w:ascii="Arial" w:hAnsi="Arial" w:eastAsia="Arial" w:cs="Arial"/>
          <w:b/>
          <w:i w:val="0"/>
          <w:strike w:val="0"/>
          <w:sz w:val="24"/>
        </w:rPr>
        <w:t xml:space="preserve">Перечень</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документов, на основании которых возникают бюджетные</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обязательства, и документов, подтверждающих возникновение</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денежных обязательств</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распоряжений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03.03.2023 N 059-06-01.01-03-р-52, от 28.12.2023 N 059-06-01.01-03-р-306)</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center"/>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72"/>
        <w:gridCol w:w="3855"/>
        <w:gridCol w:w="4706"/>
      </w:tblGrid>
      <w:tr>
        <w:trPr>
          <w:jc w:val="left"/>
        </w:trPr>
        <w:tc>
          <w:tcPr>
            <w:tcW w:w="572"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п/п</w:t>
            </w:r>
          </w:p>
        </w:tc>
        <w:tc>
          <w:tcPr>
            <w:tcW w:w="3855"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Документ-основание</w:t>
            </w:r>
          </w:p>
        </w:tc>
        <w:tc>
          <w:tcPr>
            <w:tcW w:w="470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 подтверждающий возникновение денежного обязательства</w:t>
            </w:r>
          </w:p>
        </w:tc>
      </w:tr>
      <w:tr>
        <w:trPr>
          <w:jc w:val="left"/>
        </w:trPr>
        <w:tc>
          <w:tcPr>
            <w:tcW w:w="572"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3855"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470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r>
      <w:tr>
        <w:trPr>
          <w:jc w:val="left"/>
        </w:trPr>
        <w:tc>
          <w:tcPr>
            <w:tcW w:w="572" w:type="dxa"/>
            <w:vMerge w:val="restart"/>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3855" w:type="dxa"/>
            <w:vMerge w:val="restart"/>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 соответственно муниципальный контракт, реестр контрактов)</w:t>
            </w: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 о приемке поставленных товаров, выполненных работ (их результатов, в том числе этапов), оказанных услуг</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Справка-расчет или иной документ, являющийся основанием для оплаты неустойки</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Счет</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Счет-фактура</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Товарная накладная (ф. 0330212)</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Универсальный передаточный документ</w:t>
            </w:r>
          </w:p>
        </w:tc>
      </w:tr>
      <w:tr>
        <w:trPr>
          <w:jc w:val="left"/>
        </w:trPr>
        <w:tc>
          <w:tcPr>
            <w:tcW w:w="572"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Иной документ, подтверждающий возникновение денежного обязательства (далее - иной документ, подтверждающий возникновение денежного обязательства) по бюджетному обязательству получателя средств, возникшему на основании муниципального контракта</w:t>
            </w:r>
          </w:p>
        </w:tc>
      </w:tr>
      <w:tr>
        <w:trPr>
          <w:jc w:val="left"/>
        </w:trPr>
        <w:tc>
          <w:tcPr>
            <w:tcW w:w="9133" w:type="dxa"/>
            <w:gridSpan w:val="3"/>
            <w:hMerge w:val="restart"/>
            <w:tcBorders>
              <w:left w:val="single" w:sz="4"/>
              <w:bottom w:val="single" w:sz="4"/>
              <w:right w:val="single" w:sz="4"/>
            </w:tcBorders>
          </w:tcPr>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28.12.2023 N 059-06-01.01-03-р-306)</w:t>
            </w:r>
          </w:p>
        </w:tc>
      </w:tr>
      <w:tr>
        <w:trPr>
          <w:jc w:val="left"/>
        </w:trPr>
        <w:tc>
          <w:tcPr>
            <w:tcW w:w="572" w:type="dxa"/>
            <w:vMerge w:val="restart"/>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3855" w:type="dxa"/>
            <w:vMerge w:val="restart"/>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Муниципальный контракт (договор) на поставку товаров, выполнение работ, оказание услуг, сведения о котором не подлежат включению в реестр контрактов (далее - договор)</w:t>
            </w: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Акт выполненных работ</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Акт об оказании услуг</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Акт приема-передачи</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Договор (в случае осуществления авансовых платежей в соответствии с условиями договора, внесения арендной платы по договору)</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Справка-расчет или иной документ, являющийся основанием для оплаты неустойки</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Счет</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Счет-фактура</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Товарная накладная (ф. 0330212)</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Универсальный передаточный документ</w:t>
            </w:r>
          </w:p>
        </w:tc>
      </w:tr>
      <w:tr>
        <w:trPr>
          <w:jc w:val="left"/>
        </w:trPr>
        <w:tc>
          <w:tcPr>
            <w:tcW w:w="572"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Иной документ, подтверждающий возникновение денежного обязательства по бюджетному обязательству получателя средств, возникшему на основании договора</w:t>
            </w:r>
          </w:p>
        </w:tc>
      </w:tr>
      <w:tr>
        <w:trPr>
          <w:jc w:val="left"/>
        </w:trPr>
        <w:tc>
          <w:tcPr>
            <w:tcW w:w="572"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3855"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Соглашение о предоставлении субсидии из бюджета города Перми муниципальному бюджетному (автономному) учреждению города Перми на финансовое обеспечение выполнения муниципального задания на оказание муниципальных услуг (выполнение работ);</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соглашение о предоставлении из бюджета города Перми муниципальному бюджетному (автономному) учреждению города Перми субсидии в соответствии с абзацем вторым пункта 1 статьи 78.1 Бюджетного кодекса Российской Федерации;</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соглашение о предоставлении муниципальному бюджетному (автономному) учреждению субсидии на осуществление капитальных вложений в объекты капитального строительства муниципальной собственности города Перми и (или) приобретение объектов недвижимого имущества в муниципальную собственность города Перми</w:t>
            </w: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Формирование Денежного обязательства не предусматривается</w:t>
            </w:r>
          </w:p>
        </w:tc>
      </w:tr>
      <w:tr>
        <w:trPr>
          <w:jc w:val="left"/>
        </w:trPr>
        <w:tc>
          <w:tcPr>
            <w:tcW w:w="572"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3855"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Договор (соглашение) о предоставлении из бюджета города Перми субсидий, в том числе грантов в форме субсидий, юридическим лицам, индивидуальным предпринимателям, а также физическим лицам (далее - Договор (соглашение) о предоставлении субсидии)</w:t>
            </w:r>
          </w:p>
        </w:tc>
        <w:tc>
          <w:tcPr>
            <w:tcW w:w="4706"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Формирование Денежного обязательства не предусматривается</w:t>
            </w:r>
          </w:p>
        </w:tc>
      </w:tr>
      <w:tr>
        <w:trPr>
          <w:jc w:val="left"/>
        </w:trPr>
        <w:tc>
          <w:tcPr>
            <w:tcW w:w="9133" w:type="dxa"/>
            <w:gridSpan w:val="3"/>
            <w:hMerge w:val="restart"/>
            <w:tcBorders>
              <w:left w:val="single" w:sz="4"/>
              <w:bottom w:val="single" w:sz="4"/>
              <w:right w:val="single" w:sz="4"/>
            </w:tcBorders>
          </w:tcPr>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28.12.2023 N 059-06-01.01-03-р-306)</w:t>
            </w:r>
          </w:p>
        </w:tc>
      </w:tr>
      <w:tr>
        <w:trPr>
          <w:jc w:val="left"/>
        </w:trPr>
        <w:tc>
          <w:tcPr>
            <w:tcW w:w="572"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3855"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Исполнительный документ (исполнительный лист, судебный приказ) (далее - исполнительный документ)</w:t>
            </w: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Формирование Денежного обязательства не предусматривается</w:t>
            </w:r>
          </w:p>
        </w:tc>
      </w:tr>
      <w:tr>
        <w:trPr>
          <w:jc w:val="left"/>
        </w:trPr>
        <w:tc>
          <w:tcPr>
            <w:tcW w:w="572"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3855"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Решение налогового органа о взыскании налога, сбора, страхового взноса, пеней и штрафов (далее - решение налогового органа)</w:t>
            </w:r>
          </w:p>
        </w:tc>
        <w:tc>
          <w:tcPr>
            <w:tcW w:w="470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Формирование Денежного обязательства не предусматривается</w:t>
            </w:r>
          </w:p>
        </w:tc>
      </w:tr>
      <w:tr>
        <w:trPr>
          <w:jc w:val="left"/>
        </w:trPr>
        <w:tc>
          <w:tcPr>
            <w:tcW w:w="572"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7</w:t>
            </w:r>
          </w:p>
        </w:tc>
        <w:tc>
          <w:tcPr>
            <w:tcW w:w="3855"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 не определенный пунктами 1-6 настоящего Перечня, в соответствии с которым возникает бюджетное обязательство получателя средств: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закон, иной нормативный правовой акт, в соответствии с которыми возникают публичные нормативные обязательства (публичные обязательства);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обязательства по уплате платежей в бюджет (не требующие заключения договора);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договор, расчет по которому в соответствии с законодательством Российской Федерации осуществляется наличными деньгами;</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договор на оказание услуг, выполнение работ, заключенный получателем средств с физическим лицом, не являющимся индивидуальным предпринимателем;</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иной документ, в соответствии с которым возникает бюджетное обязательство получателя средств</w:t>
            </w:r>
          </w:p>
        </w:tc>
        <w:tc>
          <w:tcPr>
            <w:tcW w:w="4706" w:type="dxa"/>
            <w:tcBorders>
              <w:top w:val="single" w:sz="4"/>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Формирование Денежного обязательства не предусматривается</w:t>
            </w:r>
          </w:p>
        </w:tc>
      </w:tr>
      <w:tr>
        <w:trPr>
          <w:jc w:val="left"/>
        </w:trPr>
        <w:tc>
          <w:tcPr>
            <w:tcW w:w="9133" w:type="dxa"/>
            <w:gridSpan w:val="3"/>
            <w:hMerge w:val="restart"/>
            <w:tcBorders>
              <w:left w:val="single" w:sz="4"/>
              <w:bottom w:val="single" w:sz="4"/>
              <w:right w:val="single" w:sz="4"/>
            </w:tcBorders>
          </w:tcPr>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28.12.2023 N 059-06-01.01-03-р-306)</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bookmarkStart w:id="5" w:name="Par250"/>
      <w:bookmarkEnd w:id="5"/>
      <w:r>
        <w:rPr>
          <w:rFonts w:ascii="Times New Roman" w:hAnsi="Times New Roman" w:eastAsia="Times New Roman" w:cs="Times New Roman"/>
          <w:b w:val="0"/>
          <w:i w:val="0"/>
          <w:strike w:val="0"/>
          <w:sz w:val="24"/>
        </w:rPr>
        <w:t xml:space="preserve">Приложение 2</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учета бюджетных и денежных</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обязательств получателей средств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бюджета города Перми</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распоряжений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03.03.2023 N 059-06-01.01-03-р-52, от 28.12.2023 N 059-06-01.01-03-р-306)</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center"/>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597"/>
        <w:gridCol w:w="4535"/>
      </w:tblGrid>
      <w:tr>
        <w:trPr>
          <w:jc w:val="left"/>
        </w:trPr>
        <w:tc>
          <w:tcPr>
            <w:tcW w:w="459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Бланк учреждения</w:t>
            </w:r>
          </w:p>
        </w:tc>
        <w:tc>
          <w:tcPr>
            <w:tcW w:w="4535"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59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535"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управление казначейства</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Просим снять с учета/завершить обработку</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520"/>
        <w:gridCol w:w="5613"/>
      </w:tblGrid>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БО</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Бюджетная классификация</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Договор (N, дата)</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 Договора руб.</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получателя</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товара, работы, услуги</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5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Основание снятия с учета/завершения БО</w:t>
            </w:r>
          </w:p>
        </w:tc>
        <w:tc>
          <w:tcPr>
            <w:tcW w:w="561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804"/>
        <w:gridCol w:w="964"/>
        <w:gridCol w:w="3969"/>
      </w:tblGrid>
      <w:tr>
        <w:trPr>
          <w:jc w:val="left"/>
        </w:trPr>
        <w:tc>
          <w:tcPr>
            <w:tcW w:w="4768" w:type="dxa"/>
            <w:gridSpan w:val="2"/>
            <w:hMerge w:val="restart"/>
          </w:tcPr>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 учреждения ______________</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969"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r>
      <w:tr>
        <w:trPr>
          <w:jc w:val="left"/>
        </w:trPr>
        <w:tc>
          <w:tcPr>
            <w:tcW w:w="3804" w:type="dxa"/>
          </w:tcPr>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Главный бухгалтер ____________</w:t>
            </w:r>
          </w:p>
          <w:p>
            <w:pPr>
              <w:pStyle w:val="Style_0"/>
              <w:spacing w:before="0" w:after="0" w:line="240" w:lineRule="auto"/>
              <w:ind w:left="2397"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4933"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_____________________________</w:t>
            </w:r>
          </w:p>
          <w:p>
            <w:pPr>
              <w:pStyle w:val="Style_0"/>
              <w:spacing w:before="0" w:after="0" w:line="240" w:lineRule="auto"/>
              <w:ind w:left="141"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pBdr>
          <w:top w:val="single"/>
        </w:pBdr>
        <w:spacing w:before="100" w:after="100" w:line="240" w:lineRule="auto"/>
        <w:ind w:left="0" w:firstLine="0"/>
        <w:jc w:val="both"/>
        <w:rPr>
          <w:rFonts w:ascii="Times New Roman" w:hAnsi="Times New Roman" w:eastAsia="Times New Roman" w:cs="Times New Roman"/>
          <w:b w:val="0"/>
          <w:i w:val="0"/>
          <w:strike w:val="0"/>
          <w:sz w:val="0"/>
        </w:rPr>
      </w:pPr>
    </w:p>
    <w:sectPr>
      <w:headerReference w:type="default" r:id="rId8"/>
      <w:footerReference w:type="default" r:id="rId9"/>
      <w:type w:val="nextPage"/>
      <w:pgSz w:w="11906" w:h="16838"/>
      <w:pgMar w:top="1440" w:right="566" w:bottom="1440" w:left="1133" w:header="0" w:footer="0" w:gutter="0"/>
      <w:cols w:num="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0">
    <w:p>
      <w:pPr>
        <w:jc w:val="left"/>
      </w:pPr>
      <w:r>
        <w:separator/>
      </w:r>
    </w:p>
  </w:endnote>
  <w:endnote w:type="continuationSeparator" w:id="1">
    <w:p>
      <w:pPr>
        <w:jc w:val="left"/>
      </w:pPr>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Courier New">
    <w:panose1 w:val="02070309020205020404"/>
  </w:font>
  <w:font w:name="Times New Roman">
    <w:panose1 w:val="02020603050405020304"/>
  </w:font>
  <w:font w:name="Calibri">
    <w:panose1 w:val="020F050202020403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auto"/>
              <w:sz w:val="16"/>
            </w:rPr>
            <w:br/>
          </w:r>
          <w:r>
            <w:rPr>
              <w:rFonts w:ascii="Tahoma" w:hAnsi="Tahoma" w:eastAsia="Tahoma" w:cs="Tahoma"/>
              <w:b/>
              <w:i w:val="0"/>
              <w:color w:val="auto"/>
              <w:sz w:val="16"/>
            </w:rPr>
            <w:t xml:space="preserve">надежная правовая поддержка</w:t>
          </w:r>
        </w:p>
      </w:tc>
      <w:tc>
        <w:tcPr>
          <w:tcW w:w="3470" w:type="dxa"/>
          <w:tcBorders>
            <w:top w:val="none" w:sz="2"/>
            <w:left w:val="none" w:sz="2"/>
            <w:bottom w:val="none" w:sz="2"/>
            <w:right w:val="none" w:sz="2"/>
          </w:tcBorders>
          <w:vAlign w:val="center"/>
        </w:tcPr>
        <w:p>
          <w:pPr>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fldChar w:fldCharType="begin"/>
          </w:r>
          <w:r>
            <w:instrText xml:space="preserve">\PAGE</w:instrText>
          </w:r>
          <w:r>
            <w:fldChar w:fldCharType="separate"/>
          </w:r>
          <w:r>
            <w:fldChar w:fldCharType="end"/>
          </w:r>
          <w:r>
            <w:rPr>
              <w:rFonts w:ascii="Tahoma" w:hAnsi="Tahoma" w:eastAsia="Tahoma" w:cs="Tahoma"/>
              <w:b w:val="0"/>
              <w:i w:val="0"/>
              <w:sz w:val="20"/>
            </w:rPr>
            <w:t xml:space="preserve"> из </w:t>
          </w:r>
          <w:r>
            <w:fldChar w:fldCharType="begin"/>
          </w:r>
          <w:r>
            <w:instrText xml:space="preserve">\NUMPAGES</w:instrText>
          </w:r>
          <w:r>
            <w:fldChar w:fldCharType="separate"/>
          </w:r>
          <w:r>
            <w:fldChar w:fldCharType="end"/>
          </w:r>
        </w:p>
      </w:tc>
    </w:tr>
  </w:tbl>
  <w:p>
    <w:pPr>
      <w:spacing w:before="0" w:after="0" w:line="240" w:lineRule="auto"/>
      <w:jc w:val="left"/>
      <w:rPr>
        <w:sz w:val="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pPr>
        <w:jc w:val="left"/>
      </w:pPr>
      <w:r>
        <w:separator/>
      </w:r>
    </w:p>
  </w:footnote>
  <w:footnote w:type="continuationSeparator" w:id="1">
    <w:p>
      <w:pPr>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28.12.2017 N СЭД-059-06-01.01-03-р-192</w:t>
          </w:r>
          <w:r>
            <w:rPr>
              <w:rFonts w:ascii="Tahoma" w:hAnsi="Tahoma" w:eastAsia="Tahoma" w:cs="Tahoma"/>
              <w:b w:val="0"/>
              <w:i w:val="0"/>
              <w:sz w:val="16"/>
            </w:rPr>
            <w:br/>
          </w:r>
          <w:r>
            <w:rPr>
              <w:rFonts w:ascii="Tahoma" w:hAnsi="Tahoma" w:eastAsia="Tahoma" w:cs="Tahoma"/>
              <w:b w:val="0"/>
              <w:i w:val="0"/>
              <w:sz w:val="16"/>
            </w:rPr>
            <w:t xml:space="preserve">(ред. от ...</w:t>
          </w:r>
        </w:p>
      </w:tc>
      <w:tc>
        <w:tcPr>
          <w:tcW w:w="4695"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Bdr>
        <w:bottom w:val="single" w:sz="12"/>
      </w:pBdr>
      <w:spacing w:before="0" w:after="0" w:line="240" w:lineRule="auto"/>
      <w:jc w:val="center"/>
      <w:rPr>
        <w:sz w:val="1"/>
      </w:rPr>
    </w:pPr>
  </w:p>
  <w:p>
    <w:pPr>
      <w:spacing w:before="0" w:after="0" w:line="240" w:lineRule="auto"/>
      <w:jc w:val="center"/>
      <w:rPr>
        <w:sz w:val="10"/>
      </w:rPr>
    </w:pPr>
    <w:r>
      <w:rPr>
        <w:sz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forgetLastTabAlignment w:val="true"/>
    <w:doNotUseHTMLParagraphAutoSpacing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rPr>
    </w:rPrDefault>
    <w:pPrDefault>
      <w:pPr>
        <w:spacing w:before="0" w:after="0" w:line="240" w:lineRule="auto"/>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Style_0" w:default="1">
    <w:name w:val="       ConsPlusNormal"/>
    <w:pPr>
      <w:spacing w:before="0" w:after="0" w:line="240" w:lineRule="auto"/>
      <w:jc w:val="left"/>
    </w:pPr>
    <w:rPr>
      <w:rFonts w:ascii="Times New Roman" w:hAnsi="Times New Roman" w:eastAsia="Times New Roman" w:cs="Times New Roman"/>
      <w:b w:val="0"/>
      <w:i w:val="0"/>
      <w:strike w:val="0"/>
      <w:sz w:val="24"/>
    </w:rPr>
  </w:style>
  <w:style w:type="paragraph" w:styleId="Style_1">
    <w:name w:val="       ConsPlusNonformat"/>
    <w:pPr>
      <w:spacing w:before="0" w:after="0" w:line="240" w:lineRule="auto"/>
      <w:jc w:val="left"/>
    </w:pPr>
    <w:rPr>
      <w:rFonts w:ascii="Courier New" w:hAnsi="Courier New" w:eastAsia="Courier New" w:cs="Courier New"/>
      <w:b w:val="0"/>
      <w:i w:val="0"/>
      <w:strike w:val="0"/>
      <w:sz w:val="20"/>
    </w:rPr>
  </w:style>
  <w:style w:type="paragraph" w:styleId="Style_2">
    <w:name w:val="       ConsPlusTitle"/>
    <w:pPr>
      <w:spacing w:before="0" w:after="0" w:line="240" w:lineRule="auto"/>
      <w:jc w:val="left"/>
    </w:pPr>
    <w:rPr>
      <w:rFonts w:ascii="Arial" w:hAnsi="Arial" w:eastAsia="Arial" w:cs="Arial"/>
      <w:b/>
      <w:i w:val="0"/>
      <w:strike w:val="0"/>
      <w:sz w:val="24"/>
    </w:rPr>
  </w:style>
  <w:style w:type="paragraph" w:styleId="Style_3">
    <w:name w:val="       ConsPlusCell"/>
    <w:pPr>
      <w:spacing w:before="0" w:after="0" w:line="240" w:lineRule="auto"/>
      <w:jc w:val="left"/>
    </w:pPr>
    <w:rPr>
      <w:rFonts w:ascii="Courier New" w:hAnsi="Courier New" w:eastAsia="Courier New" w:cs="Courier New"/>
      <w:b w:val="0"/>
      <w:i w:val="0"/>
      <w:strike w:val="0"/>
      <w:sz w:val="20"/>
    </w:rPr>
  </w:style>
  <w:style w:type="paragraph" w:styleId="Style_4">
    <w:name w:val="       ConsPlusDocList"/>
    <w:pPr>
      <w:spacing w:before="0" w:after="0" w:line="240" w:lineRule="auto"/>
      <w:jc w:val="left"/>
    </w:pPr>
    <w:rPr>
      <w:rFonts w:ascii="Tahoma" w:hAnsi="Tahoma" w:eastAsia="Tahoma" w:cs="Tahoma"/>
      <w:b w:val="0"/>
      <w:i w:val="0"/>
      <w:strike w:val="0"/>
      <w:sz w:val="18"/>
    </w:rPr>
  </w:style>
  <w:style w:type="paragraph" w:styleId="Style_5">
    <w:name w:val="       ConsPlusTitlePage"/>
    <w:pPr>
      <w:spacing w:before="0" w:after="0" w:line="240" w:lineRule="auto"/>
      <w:jc w:val="left"/>
    </w:pPr>
    <w:rPr>
      <w:rFonts w:ascii="Tahoma" w:hAnsi="Tahoma" w:eastAsia="Tahoma" w:cs="Tahoma"/>
      <w:b w:val="0"/>
      <w:i w:val="0"/>
      <w:strike w:val="0"/>
      <w:sz w:val="24"/>
    </w:rPr>
  </w:style>
  <w:style w:type="paragraph" w:styleId="Style_6">
    <w:name w:val="       ConsPlusJurTerm"/>
    <w:pPr>
      <w:spacing w:before="0" w:after="0" w:line="240" w:lineRule="auto"/>
      <w:jc w:val="left"/>
    </w:pPr>
    <w:rPr>
      <w:rFonts w:ascii="Tahoma" w:hAnsi="Tahoma" w:eastAsia="Tahoma" w:cs="Tahoma"/>
      <w:b w:val="0"/>
      <w:i w:val="0"/>
      <w:strike w:val="0"/>
      <w:sz w:val="26"/>
    </w:rPr>
  </w:style>
  <w:style w:type="paragraph" w:styleId="Style_7">
    <w:name w:val="       ConsPlusTextList"/>
    <w:pPr>
      <w:spacing w:before="0" w:after="0" w:line="240" w:lineRule="auto"/>
      <w:jc w:val="left"/>
    </w:pPr>
    <w:rPr>
      <w:rFonts w:ascii="Times New Roman" w:hAnsi="Times New Roman" w:eastAsia="Times New Roman" w:cs="Times New Roman"/>
      <w:b w:val="0"/>
      <w:i w:val="0"/>
      <w:strike w:val="0"/>
      <w:sz w:val="24"/>
    </w:rPr>
  </w:style>
  <w:style w:type="paragraph" w:styleId="Style_8">
    <w:name w:val="       ConsPlusTextList"/>
    <w:pPr>
      <w:spacing w:before="0" w:after="0" w:line="240" w:lineRule="auto"/>
      <w:jc w:val="left"/>
    </w:pPr>
    <w:rPr>
      <w:rFonts w:ascii="Times New Roman" w:hAnsi="Times New Roman" w:eastAsia="Times New Roman" w:cs="Times New Roman"/>
      <w:b w:val="0"/>
      <w:i w:val="0"/>
      <w:strike w:val="0"/>
      <w:sz w:val="2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s://www.consultant.ru" TargetMode="External"/><Relationship Id="rId12" Type="http://schemas.openxmlformats.org/officeDocument/2006/relationships/hyperlink" Target="https://www.consultant.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Р7-Офис/2024.4.1.630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Начальника департамента финансов Администрации г. Перми от 28.12.2017 N СЭД-059-06-01.01-03-р-192(ред. от 28.12.2023)&amp;quot;Об утверждении Порядка учета бюджетных и денежных обязательств получателей средств бюджета города Перми&amp;quot;</dc:title>
  <dc:creator/>
  <cp:lastModifiedBy>kotyasheva-vd</cp:lastModifiedBy>
</cp:coreProperties>
</file>