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правовых актов </w:t>
      </w:r>
      <w:r>
        <w:rPr>
          <w:sz w:val="28"/>
          <w:szCs w:val="28"/>
        </w:rPr>
        <w:t xml:space="preserve">департамента финансов администрации города Перми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для сбора замечаний и предложений организаций в целях выявления положений, не соответствующих  антимонопольному законодательству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1199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9"/>
        <w:gridCol w:w="5709"/>
        <w:gridCol w:w="2835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3"/>
        </w:trPr>
        <w:tc>
          <w:tcPr>
            <w:tcW w:w="52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правового акта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Реквизиты правового акта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Структурное подразделение департамента финансов,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ветственное за своевременную актуализацию правовых актов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5"/>
        <w:jc w:val="both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1199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9"/>
        <w:gridCol w:w="30"/>
        <w:gridCol w:w="5677"/>
        <w:gridCol w:w="2"/>
        <w:gridCol w:w="2833"/>
        <w:gridCol w:w="2"/>
        <w:gridCol w:w="2124"/>
        <w:gridCol w:w="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"/>
          <w:tblHeader/>
        </w:trPr>
        <w:tc>
          <w:tcPr>
            <w:tcW w:w="52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5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3"/>
        </w:trPr>
        <w:tc>
          <w:tcPr>
            <w:gridSpan w:val="8"/>
            <w:tcW w:w="1119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Распоряжения начальника департамента финансов администрации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5"/>
        </w:trPr>
        <w:tc>
          <w:tcPr>
            <w:gridSpan w:val="2"/>
            <w:tcW w:w="559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5677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типовой формы договора о предоставлении из бюджета города Перми субсидий, в том числе грантов в форме субсидий, юридическим лицам, и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дивидуальным предпринимателям, физ</w:t>
            </w:r>
            <w:r>
              <w:rPr>
                <w:bCs/>
                <w:sz w:val="28"/>
                <w:szCs w:val="28"/>
              </w:rPr>
              <w:t xml:space="preserve">и</w:t>
            </w:r>
            <w:r>
              <w:rPr>
                <w:bCs/>
                <w:sz w:val="28"/>
                <w:szCs w:val="28"/>
              </w:rPr>
              <w:t xml:space="preserve">ческим лицам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gridSpan w:val="2"/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от 15.12.2022 </w:t>
              <w:br w:type="textWrapping" w:clear="all"/>
              <w:t xml:space="preserve">№ 059-06-01.01-03-р-304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  <w:t xml:space="preserve">(ред. от 28.12.2023) 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 методологии бюджетного пр</w:t>
            </w:r>
            <w:r>
              <w:rPr>
                <w:bCs/>
                <w:sz w:val="28"/>
                <w:szCs w:val="28"/>
              </w:rPr>
              <w:t xml:space="preserve">о</w:t>
            </w:r>
            <w:r>
              <w:rPr>
                <w:bCs/>
                <w:sz w:val="28"/>
                <w:szCs w:val="28"/>
              </w:rPr>
              <w:t xml:space="preserve">цесса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7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Порядка предоставления информации в целях формирования и в</w:t>
            </w:r>
            <w:r>
              <w:rPr>
                <w:bCs/>
                <w:sz w:val="28"/>
                <w:szCs w:val="28"/>
              </w:rPr>
              <w:t xml:space="preserve">е</w:t>
            </w:r>
            <w:r>
              <w:rPr>
                <w:bCs/>
                <w:sz w:val="28"/>
                <w:szCs w:val="28"/>
              </w:rPr>
              <w:t xml:space="preserve">дения реестра участников бюджетного процесса, а также юридических лиц, не являющихся участниками бюджетного процесса города Перми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от 14.08.2015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№ СЭД-06-01-03-р-121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(ред. от 29.03.2021)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казн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чейства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75"/>
              <w:jc w:val="both"/>
            </w:pPr>
            <w:r>
              <w:rPr>
                <w:bCs/>
                <w:sz w:val="28"/>
                <w:szCs w:val="28"/>
              </w:rPr>
              <w:t xml:space="preserve">3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7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Порядка учета бюдже</w:t>
            </w:r>
            <w:r>
              <w:rPr>
                <w:bCs/>
                <w:sz w:val="28"/>
                <w:szCs w:val="28"/>
              </w:rPr>
              <w:t xml:space="preserve">т</w:t>
            </w:r>
            <w:r>
              <w:rPr>
                <w:bCs/>
                <w:sz w:val="28"/>
                <w:szCs w:val="28"/>
              </w:rPr>
              <w:t xml:space="preserve">ных и денежных обязательств получат</w:t>
            </w:r>
            <w:r>
              <w:rPr>
                <w:bCs/>
                <w:sz w:val="28"/>
                <w:szCs w:val="28"/>
              </w:rPr>
              <w:t xml:space="preserve">е</w:t>
            </w:r>
            <w:r>
              <w:rPr>
                <w:bCs/>
                <w:sz w:val="28"/>
                <w:szCs w:val="28"/>
              </w:rPr>
              <w:t xml:space="preserve">лей средств бюджета города Перми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от 28.12.2017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№ СЭД-059-06-01.01-03-р-192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(ред. от 28.12.2023)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казн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чейства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7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Порядка осуществления департаментом финансов администрации города Перми санкционирования опер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ций со средствами участников казначе</w:t>
            </w:r>
            <w:r>
              <w:rPr>
                <w:bCs/>
                <w:sz w:val="28"/>
                <w:szCs w:val="28"/>
              </w:rPr>
              <w:t xml:space="preserve">й</w:t>
            </w:r>
            <w:r>
              <w:rPr>
                <w:bCs/>
                <w:sz w:val="28"/>
                <w:szCs w:val="28"/>
              </w:rPr>
              <w:t xml:space="preserve">ского сопровождения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от 30.12.2021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№ 059-06-01.01-03-р-233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(ред. от 31.05.2022)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казн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чейства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7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источников поступлений целевых средств в целях санкциониров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ния операций со средствами участников казначейского сопровождения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от 11.01.2022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№ 059-06-01.01-03-р-1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  <w:p>
            <w:pPr>
              <w:pStyle w:val="875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(ред. от 25.12.2023)</w:t>
            </w:r>
            <w:r>
              <w:rPr>
                <w:bCs/>
                <w:sz w:val="28"/>
                <w:szCs w:val="28"/>
                <w:highlight w:val="none"/>
              </w:rPr>
            </w:r>
            <w:r>
              <w:rPr>
                <w:bCs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казн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чейства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basedOn w:val="875"/>
    <w:next w:val="875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link w:val="697"/>
    <w:uiPriority w:val="9"/>
    <w:rPr>
      <w:rFonts w:ascii="Arial" w:hAnsi="Arial" w:eastAsia="Arial" w:cs="Arial"/>
      <w:sz w:val="40"/>
      <w:szCs w:val="40"/>
    </w:rPr>
  </w:style>
  <w:style w:type="paragraph" w:styleId="699">
    <w:name w:val="Heading 2"/>
    <w:basedOn w:val="875"/>
    <w:next w:val="875"/>
    <w:link w:val="7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link w:val="699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5"/>
    <w:next w:val="875"/>
    <w:link w:val="7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5"/>
    <w:next w:val="875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5"/>
    <w:next w:val="875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5"/>
    <w:next w:val="875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5"/>
    <w:next w:val="875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5"/>
    <w:next w:val="875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5"/>
    <w:next w:val="875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875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pPr>
      <w:spacing w:before="0" w:after="0" w:line="240" w:lineRule="auto"/>
    </w:pPr>
  </w:style>
  <w:style w:type="paragraph" w:styleId="717">
    <w:name w:val="Title"/>
    <w:basedOn w:val="875"/>
    <w:next w:val="875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basedOn w:val="875"/>
    <w:next w:val="875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basedOn w:val="875"/>
    <w:next w:val="875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5"/>
    <w:next w:val="875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basedOn w:val="875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basedOn w:val="875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basedOn w:val="875"/>
    <w:next w:val="8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next w:val="875"/>
    <w:link w:val="875"/>
    <w:qFormat/>
    <w:rPr>
      <w:lang w:val="ru-RU" w:eastAsia="ru-RU" w:bidi="ar-SA"/>
    </w:rPr>
  </w:style>
  <w:style w:type="paragraph" w:styleId="876">
    <w:name w:val="Заголовок 1"/>
    <w:basedOn w:val="875"/>
    <w:next w:val="875"/>
    <w:link w:val="875"/>
    <w:qFormat/>
    <w:pPr>
      <w:ind w:right="-1" w:firstLine="709"/>
      <w:jc w:val="both"/>
      <w:keepNext/>
      <w:outlineLvl w:val="0"/>
    </w:pPr>
    <w:rPr>
      <w:sz w:val="24"/>
    </w:rPr>
  </w:style>
  <w:style w:type="paragraph" w:styleId="877">
    <w:name w:val="Заголовок 2"/>
    <w:basedOn w:val="875"/>
    <w:next w:val="875"/>
    <w:link w:val="875"/>
    <w:qFormat/>
    <w:pPr>
      <w:ind w:right="-1"/>
      <w:jc w:val="both"/>
      <w:keepNext/>
      <w:outlineLvl w:val="1"/>
    </w:pPr>
    <w:rPr>
      <w:sz w:val="24"/>
    </w:rPr>
  </w:style>
  <w:style w:type="character" w:styleId="878">
    <w:name w:val="Основной шрифт абзаца"/>
    <w:next w:val="878"/>
    <w:link w:val="875"/>
    <w:uiPriority w:val="1"/>
    <w:semiHidden/>
    <w:unhideWhenUsed/>
  </w:style>
  <w:style w:type="table" w:styleId="879">
    <w:name w:val="Обычная таблица"/>
    <w:next w:val="879"/>
    <w:link w:val="875"/>
    <w:uiPriority w:val="99"/>
    <w:semiHidden/>
    <w:unhideWhenUsed/>
    <w:tblPr/>
  </w:style>
  <w:style w:type="numbering" w:styleId="880">
    <w:name w:val="Нет списка"/>
    <w:next w:val="880"/>
    <w:link w:val="875"/>
    <w:uiPriority w:val="99"/>
    <w:semiHidden/>
    <w:unhideWhenUsed/>
  </w:style>
  <w:style w:type="paragraph" w:styleId="881">
    <w:name w:val="Название объекта"/>
    <w:basedOn w:val="875"/>
    <w:next w:val="875"/>
    <w:link w:val="87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2">
    <w:name w:val="Основной текст"/>
    <w:basedOn w:val="875"/>
    <w:next w:val="882"/>
    <w:link w:val="890"/>
    <w:pPr>
      <w:ind w:right="3117"/>
    </w:pPr>
    <w:rPr>
      <w:rFonts w:ascii="Courier New" w:hAnsi="Courier New"/>
      <w:sz w:val="26"/>
      <w:lang w:val="en-US" w:eastAsia="en-US"/>
    </w:rPr>
  </w:style>
  <w:style w:type="paragraph" w:styleId="883">
    <w:name w:val="Основной текст с отступом"/>
    <w:basedOn w:val="875"/>
    <w:next w:val="883"/>
    <w:link w:val="875"/>
    <w:pPr>
      <w:ind w:right="-1"/>
      <w:jc w:val="both"/>
    </w:pPr>
    <w:rPr>
      <w:sz w:val="26"/>
    </w:rPr>
  </w:style>
  <w:style w:type="paragraph" w:styleId="884">
    <w:name w:val="Нижний колонтитул"/>
    <w:basedOn w:val="875"/>
    <w:next w:val="884"/>
    <w:link w:val="875"/>
    <w:pPr>
      <w:tabs>
        <w:tab w:val="center" w:pos="4153" w:leader="none"/>
        <w:tab w:val="right" w:pos="8306" w:leader="none"/>
      </w:tabs>
    </w:pPr>
  </w:style>
  <w:style w:type="character" w:styleId="885">
    <w:name w:val="Номер страницы"/>
    <w:basedOn w:val="878"/>
    <w:next w:val="885"/>
    <w:link w:val="875"/>
  </w:style>
  <w:style w:type="paragraph" w:styleId="886">
    <w:name w:val="Верхний колонтитул"/>
    <w:basedOn w:val="875"/>
    <w:next w:val="886"/>
    <w:link w:val="891"/>
    <w:uiPriority w:val="99"/>
    <w:pPr>
      <w:tabs>
        <w:tab w:val="center" w:pos="4153" w:leader="none"/>
        <w:tab w:val="right" w:pos="8306" w:leader="none"/>
      </w:tabs>
    </w:pPr>
  </w:style>
  <w:style w:type="paragraph" w:styleId="887">
    <w:name w:val="Текст выноски"/>
    <w:basedOn w:val="875"/>
    <w:next w:val="887"/>
    <w:link w:val="888"/>
    <w:rPr>
      <w:rFonts w:ascii="Segoe UI" w:hAnsi="Segoe UI"/>
      <w:sz w:val="18"/>
      <w:szCs w:val="18"/>
      <w:lang w:val="en-US" w:eastAsia="en-US"/>
    </w:rPr>
  </w:style>
  <w:style w:type="character" w:styleId="888">
    <w:name w:val="Текст выноски Знак"/>
    <w:next w:val="888"/>
    <w:link w:val="887"/>
    <w:rPr>
      <w:rFonts w:ascii="Segoe UI" w:hAnsi="Segoe UI" w:cs="Segoe UI"/>
      <w:sz w:val="18"/>
      <w:szCs w:val="18"/>
    </w:rPr>
  </w:style>
  <w:style w:type="paragraph" w:styleId="889">
    <w:name w:val="Заголовок к тексту"/>
    <w:basedOn w:val="875"/>
    <w:next w:val="882"/>
    <w:link w:val="875"/>
    <w:pPr>
      <w:spacing w:after="480" w:line="240" w:lineRule="exact"/>
    </w:pPr>
    <w:rPr>
      <w:b/>
      <w:sz w:val="28"/>
    </w:rPr>
  </w:style>
  <w:style w:type="character" w:styleId="890">
    <w:name w:val="Основной текст Знак"/>
    <w:next w:val="890"/>
    <w:link w:val="882"/>
    <w:rPr>
      <w:rFonts w:ascii="Courier New" w:hAnsi="Courier New"/>
      <w:sz w:val="26"/>
    </w:rPr>
  </w:style>
  <w:style w:type="character" w:styleId="891">
    <w:name w:val="Верхний колонтитул Знак"/>
    <w:next w:val="891"/>
    <w:link w:val="886"/>
    <w:uiPriority w:val="99"/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6</cp:revision>
  <dcterms:created xsi:type="dcterms:W3CDTF">2022-11-05T08:12:00Z</dcterms:created>
  <dcterms:modified xsi:type="dcterms:W3CDTF">2025-01-29T07:41:41Z</dcterms:modified>
  <cp:version>917504</cp:version>
</cp:coreProperties>
</file>