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104" cy="669889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1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28104" cy="6698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aption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Пермская городская Дума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 xml:space="preserve">VI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 xml:space="preserve">I</w:t>
                            </w:r>
                            <w:r>
                              <w:rPr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sz w:val="36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off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 xml:space="preserve">Р Е Ш Е Н И Е</w:t>
                            </w:r>
                          </w:p>
                          <w:p>
                            <w:pPr>
                              <w:pStyle w:val="Normal"/>
                              <w:widowControl w:val="off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napToGrid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off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napToGrid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off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napToGrid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off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napToGrid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1.80pt;mso-position-horizontal:absolute;mso-position-vertical-relative:page;margin-top:19.80pt;mso-position-vertical:absolute;width:593.00pt;height:153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104" cy="669889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1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28104" cy="669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Caption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Пермская городская Дума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 xml:space="preserve">VI</w:t>
                      </w:r>
                      <w:r>
                        <w:rPr>
                          <w:sz w:val="36"/>
                          <w:lang w:val="en-US"/>
                        </w:rPr>
                        <w:t xml:space="preserve">I</w:t>
                      </w:r>
                      <w:r>
                        <w:rPr>
                          <w:sz w:val="36"/>
                        </w:rPr>
                        <w:t xml:space="preserve"> созыва</w:t>
                      </w:r>
                      <w:r>
                        <w:rPr>
                          <w:sz w:val="36"/>
                        </w:rPr>
                      </w:r>
                    </w:p>
                    <w:p>
                      <w:pPr>
                        <w:pStyle w:val="Normal"/>
                        <w:widowControl w:val="off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 xml:space="preserve">Р Е Ш Е Н И Е</w:t>
                      </w:r>
                    </w:p>
                    <w:p>
                      <w:pPr>
                        <w:pStyle w:val="Normal"/>
                        <w:widowControl w:val="off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snapToGrid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widowControl w:val="off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snapToGrid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widowControl w:val="off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snapToGrid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widowControl w:val="off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snapToGrid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265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2;o:allowoverlap:true;o:allowincell:true;mso-position-horizontal-relative:text;margin-left:366.60pt;mso-position-horizontal:absolute;mso-position-vertical-relative:text;margin-top:2.00pt;mso-position-vertical:absolute;width:93.40pt;height:34.70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Normal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265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19.12.2023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1;o:allowoverlap:true;o:allowincell:true;mso-position-horizontal-relative:text;margin-left:4.20pt;mso-position-horizontal:absolute;mso-position-vertical-relative:text;margin-top:2.20pt;mso-position-vertical:absolute;width:94.75pt;height:34.7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Normal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19.12.2023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480" w:after="48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бюджете города Перми на 2024 год и на плановый период 2025 и 2026 годов</w:t>
      </w:r>
    </w:p>
    <w:p>
      <w:pPr>
        <w:pStyle w:val="Normal"/>
        <w:spacing w:before="480" w:after="240"/>
        <w:ind w:firstLine="539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>
        <w:rPr>
          <w:rFonts w:eastAsia="Calibri"/>
          <w:b/>
          <w:sz w:val="28"/>
          <w:szCs w:val="28"/>
          <w:lang w:eastAsia="en-US"/>
        </w:rPr>
        <w:t xml:space="preserve">р е ш и л а</w:t>
      </w:r>
      <w:r>
        <w:rPr>
          <w:rFonts w:eastAsia="Calibri"/>
          <w:sz w:val="28"/>
          <w:szCs w:val="28"/>
          <w:lang w:eastAsia="en-US"/>
        </w:rPr>
        <w:t xml:space="preserve">:</w:t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1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 Утвердить основные характеристики бюджета города Перми (далее - бюджет города) на 2024 год: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1.1 прогнозируемый общий объем доходов бюджета города в сумме</w:t>
      </w:r>
      <w:r>
        <w:rPr>
          <w:bCs/>
          <w:sz w:val="28"/>
          <w:szCs w:val="22"/>
        </w:rPr>
        <w:t xml:space="preserve"> 50 745 </w:t>
      </w:r>
      <w:r>
        <w:rPr>
          <w:bCs/>
          <w:sz w:val="28"/>
          <w:szCs w:val="22"/>
        </w:rPr>
        <w:t xml:space="preserve">284,000</w:t>
      </w:r>
      <w:r>
        <w:rPr>
          <w:sz w:val="28"/>
          <w:szCs w:val="22"/>
        </w:rPr>
        <w:t xml:space="preserve"> тыс. руб.; 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1.2 общий объем расходов бюджета города в сумме </w:t>
      </w:r>
      <w:r>
        <w:rPr>
          <w:bCs/>
          <w:sz w:val="28"/>
          <w:szCs w:val="22"/>
        </w:rPr>
        <w:t xml:space="preserve">50 368 </w:t>
      </w:r>
      <w:r>
        <w:rPr>
          <w:bCs/>
          <w:sz w:val="28"/>
          <w:szCs w:val="22"/>
        </w:rPr>
        <w:t xml:space="preserve">091,700</w:t>
      </w:r>
      <w:r>
        <w:rPr>
          <w:sz w:val="28"/>
          <w:szCs w:val="22"/>
        </w:rPr>
        <w:t xml:space="preserve"> тыс. </w:t>
      </w:r>
      <w:r>
        <w:rPr>
          <w:sz w:val="28"/>
          <w:szCs w:val="22"/>
        </w:rPr>
        <w:t xml:space="preserve">руб.; 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1.3 профицит бюджета города в сумме </w:t>
      </w:r>
      <w:r>
        <w:rPr>
          <w:bCs/>
          <w:sz w:val="28"/>
          <w:szCs w:val="22"/>
        </w:rPr>
        <w:t xml:space="preserve">377 192,300 </w:t>
      </w:r>
      <w:r>
        <w:rPr>
          <w:sz w:val="28"/>
          <w:szCs w:val="22"/>
        </w:rPr>
        <w:t xml:space="preserve">тыс. руб. 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2. Утвердить основные характеристики </w:t>
      </w:r>
      <w:r>
        <w:rPr>
          <w:sz w:val="28"/>
          <w:szCs w:val="22"/>
        </w:rPr>
        <w:t xml:space="preserve">бюджета города на 2025 год и на </w:t>
      </w:r>
      <w:r>
        <w:rPr>
          <w:sz w:val="28"/>
          <w:szCs w:val="22"/>
        </w:rPr>
        <w:t xml:space="preserve">2026 год: 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2.1 прогнозируемый общий объем доход</w:t>
      </w:r>
      <w:r>
        <w:rPr>
          <w:sz w:val="28"/>
          <w:szCs w:val="22"/>
        </w:rPr>
        <w:t xml:space="preserve">ов бюджета города на 2025 год в </w:t>
      </w:r>
      <w:r>
        <w:rPr>
          <w:sz w:val="28"/>
          <w:szCs w:val="22"/>
        </w:rPr>
        <w:t xml:space="preserve">сумме </w:t>
      </w:r>
      <w:r>
        <w:rPr>
          <w:bCs/>
          <w:sz w:val="28"/>
          <w:szCs w:val="22"/>
        </w:rPr>
        <w:t xml:space="preserve">49 368 292,200</w:t>
      </w:r>
      <w:r>
        <w:rPr>
          <w:sz w:val="28"/>
          <w:szCs w:val="22"/>
        </w:rPr>
        <w:t xml:space="preserve"> тыс. руб. и на 2026 год в сумме</w:t>
      </w:r>
      <w:r>
        <w:rPr>
          <w:bCs/>
          <w:sz w:val="28"/>
          <w:szCs w:val="22"/>
        </w:rPr>
        <w:t xml:space="preserve"> 49 918 153,500</w:t>
      </w:r>
      <w:r>
        <w:rPr>
          <w:sz w:val="28"/>
          <w:szCs w:val="22"/>
        </w:rPr>
        <w:t xml:space="preserve"> тыс. руб.; 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2.2 общий объем расходов бюджета города на 2025 год в сумме </w:t>
      </w:r>
      <w:r>
        <w:rPr>
          <w:bCs/>
          <w:sz w:val="28"/>
          <w:szCs w:val="22"/>
        </w:rPr>
        <w:t xml:space="preserve">48 800 070,400 </w:t>
      </w:r>
      <w:r>
        <w:rPr>
          <w:sz w:val="28"/>
          <w:szCs w:val="22"/>
        </w:rPr>
        <w:t xml:space="preserve">тыс. руб., в том числе условно утвержденные расходы в сумме </w:t>
      </w:r>
      <w:r>
        <w:rPr>
          <w:bCs/>
          <w:sz w:val="28"/>
          <w:szCs w:val="22"/>
        </w:rPr>
        <w:t xml:space="preserve">766 541,068</w:t>
      </w:r>
      <w:r>
        <w:rPr>
          <w:sz w:val="28"/>
          <w:szCs w:val="22"/>
        </w:rPr>
        <w:t xml:space="preserve"> тыс. руб., и на 2026 год в сумме </w:t>
      </w:r>
      <w:r>
        <w:rPr>
          <w:bCs/>
          <w:sz w:val="28"/>
          <w:szCs w:val="22"/>
        </w:rPr>
        <w:t xml:space="preserve">49 327 291,700</w:t>
      </w:r>
      <w:r>
        <w:rPr>
          <w:sz w:val="28"/>
          <w:szCs w:val="22"/>
        </w:rPr>
        <w:t xml:space="preserve"> тыс. руб., в том числе условно утвержденные расходы в сумме </w:t>
      </w:r>
      <w:r>
        <w:rPr>
          <w:bCs/>
          <w:sz w:val="28"/>
          <w:szCs w:val="22"/>
        </w:rPr>
        <w:t xml:space="preserve">1 638 703,688</w:t>
      </w:r>
      <w:r>
        <w:rPr>
          <w:sz w:val="28"/>
          <w:szCs w:val="22"/>
        </w:rPr>
        <w:t xml:space="preserve"> тыс. руб.; 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2.3 профицит бюджета города на 2025 год </w:t>
      </w:r>
      <w:r>
        <w:rPr>
          <w:sz w:val="28"/>
          <w:szCs w:val="22"/>
        </w:rPr>
        <w:t xml:space="preserve">в сумме 568 221,800 тыс. руб. и </w:t>
      </w:r>
      <w:r>
        <w:rPr>
          <w:sz w:val="28"/>
          <w:szCs w:val="22"/>
        </w:rPr>
        <w:t xml:space="preserve">на 2026 год в сумме 590 861,800 тыс. руб.</w:t>
      </w:r>
      <w:r>
        <w:rPr>
          <w:sz w:val="28"/>
          <w:szCs w:val="22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2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что в бюджет города зачисляются доходы по нормативам, установленным бюджетным законодательством Российской Федерации, Пермск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края.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муниципальные предприятия города Перми ежегодно перечисляют в доход бюджета города 50 % прибыли, остающейся после уплаты налогов и иных обязательных платежей, до 15 апреля текущего года.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средств, подлежащий перечислению в бюджет города, исчисляется указанными предприятиями на основании показателей бухгалтерской отчетности предприятия за отчетный финансовый год.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муниципальные предприятия города Перми вправе пер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числить в доход бюджета города часть неиспользованной прибыли прошлых лет.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3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распределение доходов бюджета города по кодам поступлений в бюджет (группам, подгруппам, статьям классификации доходов бюджета) на 2024 год и на плановый период 2025 и 2026 годов согласно приложению 1 к настоящему решению.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случае изменения перечня главных администраторов доходов бюджета города, а также состава закрепленных за ними кодов классификации доходов бюджета финансовый орган города Перми (далее – финансовый орган) уведомл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ет Контрольно-счетную палату города Перми о внесенных изменениях в целях 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кущего контроля за исполнением бюджета города.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4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бюджетов на 2024 год и на плановый период 2025 и 2026 годов согласно приложению 2 к настоящему решению.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ведомственную структуру расходов бюджета города на 2024 год и на плановый период 2025 и 2026 годов согласно приложению 3 к настоящему решению.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Перечень объектов капитального строительства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собственности и объектов недвижимого имущества, приобретаемых в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ципальную собственность, на 2024 год и на плановый период 2025 и 2026 годов согласно приложению 4 к настоящему решению.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Администрации города Перми производить расходование средств на ре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лизацию муниципальных программ, средств в объекты капитального строител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ства муниципальной собственности и на приобретение объектов недвижимого имущества в муниципальную собственность, на предоставление субсидий из бюджета города при условии утверждения (внесения изменений)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программ (в муниципальные программы), инвестиционных проектов, поря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ков предоставления субсидий в установленном порядке.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5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объем резервного фонда адм</w:t>
      </w:r>
      <w:r>
        <w:rPr>
          <w:sz w:val="28"/>
          <w:szCs w:val="28"/>
        </w:rPr>
        <w:t xml:space="preserve">инистрации города Перми на 2024 </w:t>
      </w:r>
      <w:r>
        <w:rPr>
          <w:sz w:val="28"/>
          <w:szCs w:val="28"/>
        </w:rPr>
        <w:t xml:space="preserve">год в сумме </w:t>
      </w:r>
      <w:r>
        <w:rPr>
          <w:bCs/>
          <w:sz w:val="28"/>
          <w:szCs w:val="28"/>
        </w:rPr>
        <w:t xml:space="preserve">167 905,827</w:t>
      </w:r>
      <w:r>
        <w:rPr>
          <w:sz w:val="28"/>
          <w:szCs w:val="28"/>
        </w:rPr>
        <w:t xml:space="preserve"> тыс. руб., на 2</w:t>
      </w:r>
      <w:r>
        <w:rPr>
          <w:sz w:val="28"/>
          <w:szCs w:val="28"/>
        </w:rPr>
        <w:t xml:space="preserve">025 год в сумме 28 852,200 тыс. </w:t>
      </w:r>
      <w:r>
        <w:rPr>
          <w:sz w:val="28"/>
          <w:szCs w:val="28"/>
        </w:rPr>
        <w:t xml:space="preserve">руб.</w:t>
      </w:r>
      <w:r>
        <w:rPr>
          <w:sz w:val="28"/>
          <w:szCs w:val="28"/>
        </w:rPr>
        <w:t xml:space="preserve">, на </w:t>
      </w:r>
      <w:r>
        <w:rPr>
          <w:sz w:val="28"/>
          <w:szCs w:val="28"/>
        </w:rPr>
        <w:t xml:space="preserve">2026 год в сумме 28 852,200 тыс. руб.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общий объем бюджетных ассигнований на исполнение 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личных нормативных обязательств города Перми на 2024 год в сумме 166 249,5 тыс. руб., на 2025 год в сумме 171 410,7 тыс. руб., на 2026 год в сумме 171 410,7 тыс. руб., в том числе: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на выплаты стипендий Главы города Перми - главы администрации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 «Спортивные надежды» юным спортсменам города, победителям и призерам всероссийских и международных соревнований: на 2024 год в сумме 2 478,0 тыс. руб., на 2025 год в сумме 2 478,0 тыс. руб., на 2026 год в сумме 2 478,0 тыс. руб.;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на ежемесячные денежные выплаты за проезд в медицинские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ции, осуществляющие свою деятельность на территории города Перми, для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ведения амбулаторного гемодиализа гражданам, постоянно или преимущественно проживающим на территории города Перми, с хронической почечной недост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точностью: на 2024 год в сумме 11 791,0 тыс. руб., на 2025 год в сумме 11 791,0 тыс. руб., на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2026 год в сумме 11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791,0 тыс. руб.;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на ежемесячные денежные выплаты одному из родителей (законных представителей), являющихся студентами или учащимися, постоянно, преимущ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ственно или временно проживающих на территории города Перми, обучающихся по очной форме в профессиональных образовательных организациях,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организациях высшего образования, имеющих детей в возрасте до 1,5 лет: на 2024 год в сумме 2 346,0 тыс. руб., на 2025 год в сумме 2 346,0 тыс. руб., на 2026 год в сумме 2 346,0 тыс. руб.;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на дополнительные меры социальной поддержки одного из родителей в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случае рождения троих или более детей одновременно: на 2024 год в сумме 4 597,7 тыс. руб., на 2025 год в сумме 4 597,7 тыс. руб., на 2026 год в сумме 4 597,7 тыс. руб.;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на выплаты премии Главы города Перми «Золотой резерв» талантливым и одаренным обучающимся общеобразовательных организаций города Перми, осуществляющих образовательную деятельность по имеющим государственную аккредитацию основным общеобразовательным программам: на 2024 год в сумме 2 873,6 тыс. руб., на 2025 год в сумме 2 873,6 тыс. руб., на 2026 год в сумме 2 873,6 тыс. руб.;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на выплаты пенсии за выслугу лет лицам, замещавшим муниципальные должности (в т.ч. выборные муниципальные должности), муниципальные дол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ности муниципальной службы, должности муниципальной службы города Перми: на 2024 год в сумме </w:t>
      </w:r>
      <w:r>
        <w:rPr>
          <w:sz w:val="28"/>
        </w:rPr>
        <w:t xml:space="preserve">142 163,2</w:t>
      </w:r>
      <w:r>
        <w:rPr>
          <w:sz w:val="28"/>
          <w:szCs w:val="28"/>
        </w:rPr>
        <w:t xml:space="preserve"> тыс. руб., на 2025 год в сумме </w:t>
      </w:r>
      <w:r>
        <w:rPr>
          <w:sz w:val="28"/>
        </w:rPr>
        <w:t xml:space="preserve">147 324,4</w:t>
      </w:r>
      <w:r>
        <w:rPr>
          <w:sz w:val="28"/>
          <w:szCs w:val="28"/>
        </w:rPr>
        <w:t xml:space="preserve"> тыс. руб., на 2026 год в сумме </w:t>
      </w:r>
      <w:r>
        <w:rPr>
          <w:sz w:val="28"/>
        </w:rPr>
        <w:t xml:space="preserve">147 324,4</w:t>
      </w:r>
      <w:r>
        <w:rPr>
          <w:sz w:val="28"/>
          <w:szCs w:val="28"/>
        </w:rPr>
        <w:t xml:space="preserve"> тыс. руб.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2"/>
        </w:rPr>
        <w:t xml:space="preserve">Утвердить объем бюджетных ассигнований дорожного фонда города Перми на 2024 год в сумме 5 241 282,15 тыс. руб., на 2025 год в сумме 4</w:t>
      </w:r>
      <w:r>
        <w:rPr>
          <w:sz w:val="28"/>
          <w:szCs w:val="22"/>
          <w:lang w:val="en-US"/>
        </w:rPr>
        <w:t xml:space="preserve"> </w:t>
      </w:r>
      <w:r>
        <w:rPr>
          <w:sz w:val="28"/>
          <w:szCs w:val="22"/>
        </w:rPr>
        <w:t xml:space="preserve">907</w:t>
      </w:r>
      <w:r>
        <w:rPr>
          <w:sz w:val="28"/>
          <w:szCs w:val="22"/>
          <w:lang w:val="en-US"/>
        </w:rPr>
        <w:t xml:space="preserve"> </w:t>
      </w:r>
      <w:r>
        <w:rPr>
          <w:sz w:val="28"/>
          <w:szCs w:val="22"/>
        </w:rPr>
        <w:t xml:space="preserve">638,711 тыс. руб., на 2026 год в сумме 5</w:t>
      </w:r>
      <w:r>
        <w:rPr>
          <w:sz w:val="28"/>
          <w:szCs w:val="22"/>
          <w:lang w:val="en-US"/>
        </w:rPr>
        <w:t xml:space="preserve"> </w:t>
      </w:r>
      <w:r>
        <w:rPr>
          <w:sz w:val="28"/>
          <w:szCs w:val="22"/>
        </w:rPr>
        <w:t xml:space="preserve">101</w:t>
      </w:r>
      <w:r>
        <w:rPr>
          <w:sz w:val="28"/>
          <w:szCs w:val="22"/>
          <w:lang w:val="en-US"/>
        </w:rPr>
        <w:t xml:space="preserve"> </w:t>
      </w:r>
      <w:r>
        <w:rPr>
          <w:sz w:val="28"/>
          <w:szCs w:val="22"/>
        </w:rPr>
        <w:t xml:space="preserve">459,8 тыс. руб., в том числе средства федерального бюджета на 2024 год в сумме </w:t>
      </w:r>
      <w:r>
        <w:rPr>
          <w:bCs/>
          <w:sz w:val="28"/>
          <w:szCs w:val="22"/>
        </w:rPr>
        <w:t xml:space="preserve">201 775,700</w:t>
      </w:r>
      <w:r>
        <w:rPr>
          <w:sz w:val="28"/>
          <w:szCs w:val="22"/>
        </w:rPr>
        <w:t xml:space="preserve"> тыс. руб., на </w:t>
      </w:r>
      <w:r>
        <w:rPr>
          <w:sz w:val="28"/>
          <w:szCs w:val="22"/>
        </w:rPr>
        <w:t xml:space="preserve">2025 год в сумме 37 459,3 тыс. руб., средства</w:t>
      </w:r>
      <w:r>
        <w:rPr>
          <w:sz w:val="28"/>
          <w:szCs w:val="22"/>
        </w:rPr>
        <w:t xml:space="preserve"> бюджета Пермского края на 2024 </w:t>
      </w:r>
      <w:r>
        <w:rPr>
          <w:sz w:val="28"/>
          <w:szCs w:val="22"/>
        </w:rPr>
        <w:t xml:space="preserve">год в сумме </w:t>
      </w:r>
      <w:r>
        <w:rPr>
          <w:bCs/>
          <w:sz w:val="28"/>
          <w:szCs w:val="22"/>
        </w:rPr>
        <w:t xml:space="preserve">1 095 752,400</w:t>
      </w:r>
      <w:r>
        <w:rPr>
          <w:sz w:val="28"/>
          <w:szCs w:val="22"/>
        </w:rPr>
        <w:t xml:space="preserve"> тыс. руб., на 20</w:t>
      </w:r>
      <w:r>
        <w:rPr>
          <w:sz w:val="28"/>
          <w:szCs w:val="22"/>
        </w:rPr>
        <w:t xml:space="preserve">25 год в сумме 978 905,700 тыс. </w:t>
      </w:r>
      <w:r>
        <w:rPr>
          <w:sz w:val="28"/>
          <w:szCs w:val="22"/>
        </w:rPr>
        <w:t xml:space="preserve">руб., на 2026 год в сумме 976 934,100 тыс. руб.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общий объем межбюджетных трансфертов, поступающих в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бюджет города из бюджета Пермского края, в 2024 году в сумме </w:t>
      </w:r>
      <w:r>
        <w:rPr>
          <w:bCs/>
          <w:sz w:val="28"/>
          <w:szCs w:val="22"/>
        </w:rPr>
        <w:t xml:space="preserve">22 013 696,100</w:t>
      </w:r>
      <w:r>
        <w:rPr>
          <w:b/>
          <w:bCs/>
          <w:sz w:val="28"/>
          <w:szCs w:val="22"/>
        </w:rPr>
        <w:t xml:space="preserve"> </w:t>
      </w:r>
      <w:r>
        <w:rPr>
          <w:sz w:val="28"/>
          <w:szCs w:val="28"/>
        </w:rPr>
        <w:t xml:space="preserve">тыс. руб., в 2025 году </w:t>
      </w:r>
      <w:r>
        <w:rPr>
          <w:bCs/>
          <w:sz w:val="28"/>
          <w:szCs w:val="28"/>
        </w:rPr>
        <w:t xml:space="preserve">18 649 679,1</w:t>
      </w:r>
      <w:r>
        <w:rPr>
          <w:sz w:val="28"/>
          <w:szCs w:val="28"/>
        </w:rPr>
        <w:t xml:space="preserve"> тыс. руб., в 2026 году в сумме </w:t>
      </w:r>
      <w:r>
        <w:rPr>
          <w:bCs/>
          <w:sz w:val="28"/>
          <w:szCs w:val="28"/>
        </w:rPr>
        <w:t xml:space="preserve">17 297 725,0</w:t>
      </w:r>
      <w:r>
        <w:rPr>
          <w:sz w:val="28"/>
          <w:szCs w:val="28"/>
        </w:rPr>
        <w:t xml:space="preserve"> тыс.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руб.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Предусмотреть в расходах бюджета города средства на: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размеров денежных норм по бесплатному питанию учащихся в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муниципальных общеобразовательных организациях, частных общеобразов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организациях с 01.01.2024 на 4,9 %,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индексацию ежегодной денежной выплаты почетным гражданам города Перми с 01.01.2024 на 4,9 %,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индексацию ежемесячных надбавок к заработной плате педагогическим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ботникам муниципальных образовательных учреждений в сфере образования, культуры, физической культуры и спорта, не финансируемых за счет субвенций из бюджета Пермского края, предусмотренных в подпункте 2.1.2, пунктах 2.2, 2.4, 2.5 Положения о мерах социальной поддержки руководителей и педагогических работников муниципальных образовательных учреждений города Перми, утве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жденного решением Пермской городской Думы от 25.09.2007 № 226, с 01.01.2024 на 4,9 %,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фонда оплаты труда работников муниципальных учреждений с учетом необходимости обеспечения уровня целевых показателей,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указами Президента Российской Федерации от 07.05.2012 № 597,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.06.2012 № 761 в отношении следующих категорий работников: педагогич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ские работники муниципальных учреждений дополнительного образования детей, работники культуры муниципальных учреждений культуры,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размера ежемесячных денежных выплат одному из родителей (законных представителей), являющихся студентами или учащимися, постоянно, преимущественно или временно проживающих на территории города Перми, обучающихся по очной форме в профессиональных образовательных организац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ях, образовательных организациях высшего образования, имеющих детей в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расте до 1,5 лет, с 01.01.2024 на 4,9 %,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размера ежемесячных денежных выплат за проезд в медици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ские организации, осуществляющие свою деятельность на территории города Перми, для проведения амбулаторного гемодиализа гражданам, постоянно или преимущественно проживающим на территории города Перми, с хронич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ской почечной недостаточностью с 01.01.2024 на 4,9 %,</w:t>
      </w:r>
    </w:p>
    <w:p>
      <w:pPr>
        <w:pStyle w:val="Normal"/>
        <w:widowControl w:val="off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индексацию фонда оплаты труда (денежного содержания) работников м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ниципальных учреждений, муниципальных служащих города Перми, помощн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ков депутатов Пермской городской Думы, лиц, замещающих муниципальные должности и осуществляющих свои полномочия на постоянной основе, а также работников, занимающих должности, не отнесенные к должностям муниципал</w:t>
      </w:r>
      <w:r>
        <w:rPr>
          <w:sz w:val="28"/>
          <w:szCs w:val="24"/>
        </w:rPr>
        <w:t xml:space="preserve">ь</w:t>
      </w:r>
      <w:r>
        <w:rPr>
          <w:sz w:val="28"/>
          <w:szCs w:val="24"/>
        </w:rPr>
        <w:t xml:space="preserve">ной службы, и осуществляющих техническое обеспечение органов местного с</w:t>
      </w: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моуправления, выплат компенсации расходов, связанных с осуществлением по</w:t>
      </w:r>
      <w:r>
        <w:rPr>
          <w:sz w:val="28"/>
          <w:szCs w:val="24"/>
        </w:rPr>
        <w:t xml:space="preserve">л</w:t>
      </w:r>
      <w:r>
        <w:rPr>
          <w:sz w:val="28"/>
          <w:szCs w:val="24"/>
        </w:rPr>
        <w:t xml:space="preserve">номочий депутатов Пермской городской Думы, пенсий за выслугу лет лицам, з</w:t>
      </w: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мещавшим муниципальные должности (в т.ч. выборные муниципальные должн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сти), муниципальные должности муниципальной службы, должности муниц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пальной службы города Перми, с 01.10.2024 на 4,9 %, за исключением работников </w:t>
      </w:r>
      <w:r>
        <w:rPr>
          <w:bCs/>
          <w:sz w:val="28"/>
          <w:szCs w:val="24"/>
        </w:rPr>
        <w:t xml:space="preserve">муниципальных </w:t>
      </w:r>
      <w:r>
        <w:rPr>
          <w:sz w:val="28"/>
          <w:szCs w:val="24"/>
        </w:rPr>
        <w:t xml:space="preserve">учреждений, для которых настоящей статьей установлены иные размеры увеличения фонда оплаты труда.</w:t>
      </w:r>
    </w:p>
    <w:p>
      <w:pPr>
        <w:pStyle w:val="Normal"/>
        <w:widowControl w:val="o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6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на 2024 год и на плановый период 2025 и 2026 годов источн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ки финансирования дефицита бюджета города согласно приложению 5 к насто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щему решению.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на 2024 год и на плановый период 2025 и 2026 годов програ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му муниципальных внутренних заимствований города Перми согласно прилож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6 к настоящему решению.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на 2024 год и на плановый период 2025 и 2026 годов програ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му муниципальных гарантий города Перми согласно приложению 7 к настоящему решению. 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объем бюджетных ассигнований на исполнение муниципальных гарантий города Перми по возможным гарантийным случаям на 2024 год в сумме 0,0 тыс. руб., на 2025 год в сумме 0,0 тыс. руб., на 2026 год в сумме 0,0 тыс. руб.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изменения перечня главных администраторов источников 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нансирования дефицита бюджета города, а также состава закрепленных за ними кодов классификации источников финансирования дефицита бюджета финанс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вый орган уведомляет Контрольно-счетную палату города Перми о внесенных изменениях в целях текущего контроля за исполнением бюджета города.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Установить верхний предел муниципального долга города Перми: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01.01.2025 в сумме 4 900 553,7 тыс. руб., в том числе верхний предел долга по муниципальным гарантиям города Перми в сумме 0,0 тыс. руб.;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01.01.2026 в сумме 4 332 331,9 тыс. руб., в том числе верхний предел долга по муниципальным гарантиям города Перми в сумме 0,0 тыс. руб.;</w:t>
      </w:r>
    </w:p>
    <w:p>
      <w:pPr>
        <w:pStyle w:val="Normal"/>
        <w:widowControl w:val="off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3) на 01.01.2027 в сумме 3 741 470,1 тыс. руб., в том числе верхний предел долга по муниципальным гарантиям города Перми в сумме 0,0 тыс. руб.</w:t>
      </w:r>
      <w:r>
        <w:rPr>
          <w:i/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7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bookmarkStart w:id="0" w:name="P84"/>
      <w:bookmarkEnd w:id="0"/>
      <w:r>
        <w:rPr>
          <w:sz w:val="28"/>
          <w:szCs w:val="22"/>
        </w:rPr>
        <w:t xml:space="preserve">1. Установить, что муниципальные заказчики (заказчики) при заключении муниципальных контрактов (договоров) на поставку товаров, выполнение работ, оказание услуг (далее в настоящем пункте – контракт), а также иные юридические лица в соответствии с частью 5 статьи 15 Федерального закона от 05.04.2013 № 44-ФЗ «О контрактной системе в сфере закупок товаров, работ, услуг для обе</w:t>
      </w:r>
      <w:r>
        <w:rPr>
          <w:sz w:val="28"/>
          <w:szCs w:val="22"/>
        </w:rPr>
        <w:t xml:space="preserve">с</w:t>
      </w:r>
      <w:r>
        <w:rPr>
          <w:sz w:val="28"/>
          <w:szCs w:val="22"/>
        </w:rPr>
        <w:t xml:space="preserve">печения государственных и муниципальных нужд» вправе предусматривать ава</w:t>
      </w:r>
      <w:r>
        <w:rPr>
          <w:sz w:val="28"/>
          <w:szCs w:val="22"/>
        </w:rPr>
        <w:t xml:space="preserve">н</w:t>
      </w:r>
      <w:r>
        <w:rPr>
          <w:sz w:val="28"/>
          <w:szCs w:val="22"/>
        </w:rPr>
        <w:t xml:space="preserve">совые платежи: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размере до 100</w:t>
      </w:r>
      <w:r>
        <w:rPr>
          <w:sz w:val="28"/>
          <w:szCs w:val="22"/>
        </w:rPr>
        <w:t xml:space="preserve"> </w:t>
      </w:r>
      <w:r>
        <w:rPr>
          <w:sz w:val="28"/>
          <w:szCs w:val="22"/>
        </w:rPr>
        <w:t xml:space="preserve">% суммы контракта - по контрактам на поставку и подпи</w:t>
      </w:r>
      <w:r>
        <w:rPr>
          <w:sz w:val="28"/>
          <w:szCs w:val="22"/>
        </w:rPr>
        <w:t xml:space="preserve">с</w:t>
      </w:r>
      <w:r>
        <w:rPr>
          <w:sz w:val="28"/>
          <w:szCs w:val="22"/>
        </w:rPr>
        <w:t xml:space="preserve">ку на печатные издания, на поставку горюче-смазочных материалов, на оказание услуг всех видов связи, на обучение на курсах повышения квалификации и сем</w:t>
      </w:r>
      <w:r>
        <w:rPr>
          <w:sz w:val="28"/>
          <w:szCs w:val="22"/>
        </w:rPr>
        <w:t xml:space="preserve">и</w:t>
      </w:r>
      <w:r>
        <w:rPr>
          <w:sz w:val="28"/>
          <w:szCs w:val="22"/>
        </w:rPr>
        <w:t xml:space="preserve">нарах, на приобретение путевок, авиа- и железнодорожных билетов, на оплату р</w:t>
      </w:r>
      <w:r>
        <w:rPr>
          <w:sz w:val="28"/>
          <w:szCs w:val="22"/>
        </w:rPr>
        <w:t xml:space="preserve">е</w:t>
      </w:r>
      <w:r>
        <w:rPr>
          <w:sz w:val="28"/>
          <w:szCs w:val="22"/>
        </w:rPr>
        <w:t xml:space="preserve">гистрационных сборов за участие официальных делегаций города Перми в мер</w:t>
      </w:r>
      <w:r>
        <w:rPr>
          <w:sz w:val="28"/>
          <w:szCs w:val="22"/>
        </w:rPr>
        <w:t xml:space="preserve">о</w:t>
      </w:r>
      <w:r>
        <w:rPr>
          <w:sz w:val="28"/>
          <w:szCs w:val="22"/>
        </w:rPr>
        <w:t xml:space="preserve">приятиях регионального, федерального и международного значения, на оплату найма жилых помещений, по контрактам страхования, а также по контрактам, з</w:t>
      </w:r>
      <w:r>
        <w:rPr>
          <w:sz w:val="28"/>
          <w:szCs w:val="22"/>
        </w:rPr>
        <w:t xml:space="preserve">а</w:t>
      </w:r>
      <w:r>
        <w:rPr>
          <w:sz w:val="28"/>
          <w:szCs w:val="22"/>
        </w:rPr>
        <w:t xml:space="preserve">ключенным в соответствии с пунктами 4, 5, 6, 9, 13, 14, 15 части 1 статьи 93 Ф</w:t>
      </w:r>
      <w:r>
        <w:rPr>
          <w:sz w:val="28"/>
          <w:szCs w:val="22"/>
        </w:rPr>
        <w:t xml:space="preserve">е</w:t>
      </w:r>
      <w:r>
        <w:rPr>
          <w:sz w:val="28"/>
          <w:szCs w:val="22"/>
        </w:rPr>
        <w:t xml:space="preserve">дерального закона от 05.04.2013 № 44-ФЗ «О контрактной системе в сфере зак</w:t>
      </w:r>
      <w:r>
        <w:rPr>
          <w:sz w:val="28"/>
          <w:szCs w:val="22"/>
        </w:rPr>
        <w:t xml:space="preserve">у</w:t>
      </w:r>
      <w:r>
        <w:rPr>
          <w:sz w:val="28"/>
          <w:szCs w:val="22"/>
        </w:rPr>
        <w:t xml:space="preserve">пок товаров, работ, услуг для обеспечения государственных и муниципальных нужд», в иных случаях в соответствии с нормативными правовыми актами Прав</w:t>
      </w:r>
      <w:r>
        <w:rPr>
          <w:sz w:val="28"/>
          <w:szCs w:val="22"/>
        </w:rPr>
        <w:t xml:space="preserve">и</w:t>
      </w:r>
      <w:r>
        <w:rPr>
          <w:sz w:val="28"/>
          <w:szCs w:val="22"/>
        </w:rPr>
        <w:t xml:space="preserve">тельства Российской Федерации,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размере до 30</w:t>
      </w:r>
      <w:r>
        <w:rPr>
          <w:sz w:val="28"/>
          <w:szCs w:val="22"/>
        </w:rPr>
        <w:t xml:space="preserve"> </w:t>
      </w:r>
      <w:r>
        <w:rPr>
          <w:sz w:val="28"/>
          <w:szCs w:val="22"/>
        </w:rPr>
        <w:t xml:space="preserve">% суммы контракта на выполнение работ по строительству, реконструкции и капитальному ремонту объектов капитального строительства муниципальной собственности города Перми, заключаемого на сумму 100,0 млн. руб. и более,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размере до 30</w:t>
      </w:r>
      <w:r>
        <w:rPr>
          <w:sz w:val="28"/>
          <w:szCs w:val="22"/>
        </w:rPr>
        <w:t xml:space="preserve"> </w:t>
      </w:r>
      <w:r>
        <w:rPr>
          <w:sz w:val="28"/>
          <w:szCs w:val="22"/>
        </w:rPr>
        <w:t xml:space="preserve">% суммы контракта, но не более лимитов бюджетных обяз</w:t>
      </w:r>
      <w:r>
        <w:rPr>
          <w:sz w:val="28"/>
          <w:szCs w:val="22"/>
        </w:rPr>
        <w:t xml:space="preserve">а</w:t>
      </w:r>
      <w:r>
        <w:rPr>
          <w:sz w:val="28"/>
          <w:szCs w:val="22"/>
        </w:rPr>
        <w:t xml:space="preserve">тельств, доведенных на соответствующий финансовый год по соответствующим кодам бюджетной классификации расходов бюджета, при условии обоснования необходимости авансовых платежей в порядке, установленном администрацией города Перми.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2. Установить, что муниципальные бюджетные и автономные учреждения при заключении ими договоров на поставку товаров, выполнение работ и оказ</w:t>
      </w:r>
      <w:r>
        <w:rPr>
          <w:sz w:val="28"/>
          <w:szCs w:val="22"/>
        </w:rPr>
        <w:t xml:space="preserve">а</w:t>
      </w:r>
      <w:r>
        <w:rPr>
          <w:sz w:val="28"/>
          <w:szCs w:val="22"/>
        </w:rPr>
        <w:t xml:space="preserve">ние услуг в соответствии с Федеральным законом от 18.07.2011 № 223-ФЗ «О з</w:t>
      </w:r>
      <w:r>
        <w:rPr>
          <w:sz w:val="28"/>
          <w:szCs w:val="22"/>
        </w:rPr>
        <w:t xml:space="preserve">а</w:t>
      </w:r>
      <w:r>
        <w:rPr>
          <w:sz w:val="28"/>
          <w:szCs w:val="22"/>
        </w:rPr>
        <w:t xml:space="preserve">купках товаров, работ, услуг отдельными видами юридических лиц», предусма</w:t>
      </w:r>
      <w:r>
        <w:rPr>
          <w:sz w:val="28"/>
          <w:szCs w:val="22"/>
        </w:rPr>
        <w:t xml:space="preserve">т</w:t>
      </w:r>
      <w:r>
        <w:rPr>
          <w:sz w:val="28"/>
          <w:szCs w:val="22"/>
        </w:rPr>
        <w:t xml:space="preserve">ривающих авансовые платежи, соблюдают положения, установленные пунктом 1 настоящей статьи.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3. Установить, что в 2024 году в соответствии с подпунктом 1 пункта 1 ст</w:t>
      </w:r>
      <w:r>
        <w:rPr>
          <w:sz w:val="28"/>
          <w:szCs w:val="22"/>
        </w:rPr>
        <w:t xml:space="preserve">а</w:t>
      </w:r>
      <w:r>
        <w:rPr>
          <w:sz w:val="28"/>
          <w:szCs w:val="22"/>
        </w:rPr>
        <w:t xml:space="preserve">тьи 242.26 Бюджетного кодекса Российской Федерации казначейскому сопрово</w:t>
      </w:r>
      <w:r>
        <w:rPr>
          <w:sz w:val="28"/>
          <w:szCs w:val="22"/>
        </w:rPr>
        <w:t xml:space="preserve">ж</w:t>
      </w:r>
      <w:r>
        <w:rPr>
          <w:sz w:val="28"/>
          <w:szCs w:val="22"/>
        </w:rPr>
        <w:t xml:space="preserve">дению подлежат следующие средства, предоставляемые из бюджета города Пе</w:t>
      </w:r>
      <w:r>
        <w:rPr>
          <w:sz w:val="28"/>
          <w:szCs w:val="22"/>
        </w:rPr>
        <w:t xml:space="preserve">р</w:t>
      </w:r>
      <w:r>
        <w:rPr>
          <w:sz w:val="28"/>
          <w:szCs w:val="22"/>
        </w:rPr>
        <w:t xml:space="preserve">ми: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авансовые платежи по муниципальным контрактам на сумму 100,0 млн. руб. и более, указанные в абзацах третьем, четвертом пункта 1 настоящей статьи,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авансовые платежи по контрактам (договорам), заключенным муниципал</w:t>
      </w:r>
      <w:r>
        <w:rPr>
          <w:sz w:val="28"/>
          <w:szCs w:val="22"/>
        </w:rPr>
        <w:t xml:space="preserve">ь</w:t>
      </w:r>
      <w:r>
        <w:rPr>
          <w:sz w:val="28"/>
          <w:szCs w:val="22"/>
        </w:rPr>
        <w:t xml:space="preserve">ными бюджетными и автономными учреждениями на сумму 100,0 млн. руб. и б</w:t>
      </w:r>
      <w:r>
        <w:rPr>
          <w:sz w:val="28"/>
          <w:szCs w:val="22"/>
        </w:rPr>
        <w:t xml:space="preserve">о</w:t>
      </w:r>
      <w:r>
        <w:rPr>
          <w:sz w:val="28"/>
          <w:szCs w:val="22"/>
        </w:rPr>
        <w:t xml:space="preserve">лее на выполнение работ по строительству, реконструкции и капитальному р</w:t>
      </w:r>
      <w:r>
        <w:rPr>
          <w:sz w:val="28"/>
          <w:szCs w:val="22"/>
        </w:rPr>
        <w:t xml:space="preserve">е</w:t>
      </w:r>
      <w:r>
        <w:rPr>
          <w:sz w:val="28"/>
          <w:szCs w:val="22"/>
        </w:rPr>
        <w:t xml:space="preserve">монту объектов капитального строительства муниципальной собственности гор</w:t>
      </w:r>
      <w:r>
        <w:rPr>
          <w:sz w:val="28"/>
          <w:szCs w:val="22"/>
        </w:rPr>
        <w:t xml:space="preserve">о</w:t>
      </w:r>
      <w:r>
        <w:rPr>
          <w:sz w:val="28"/>
          <w:szCs w:val="22"/>
        </w:rPr>
        <w:t xml:space="preserve">да Перми,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Федерации,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расчеты по муниципальным контрактам на выполнение работ по осущест</w:t>
      </w:r>
      <w:r>
        <w:rPr>
          <w:sz w:val="28"/>
          <w:szCs w:val="22"/>
        </w:rPr>
        <w:t xml:space="preserve">в</w:t>
      </w:r>
      <w:r>
        <w:rPr>
          <w:sz w:val="28"/>
          <w:szCs w:val="22"/>
        </w:rPr>
        <w:t xml:space="preserve">лению регулярных перевозок пассажиров автомобильным и городским наземным электрическим транспортом по муниципальным маршрутам регулярных перев</w:t>
      </w:r>
      <w:r>
        <w:rPr>
          <w:sz w:val="28"/>
          <w:szCs w:val="22"/>
        </w:rPr>
        <w:t xml:space="preserve">о</w:t>
      </w:r>
      <w:r>
        <w:rPr>
          <w:sz w:val="28"/>
          <w:szCs w:val="22"/>
        </w:rPr>
        <w:t xml:space="preserve">зок города Перми по регулируемому тарифу города Перми, заключаемым на су</w:t>
      </w:r>
      <w:r>
        <w:rPr>
          <w:sz w:val="28"/>
          <w:szCs w:val="22"/>
        </w:rPr>
        <w:t xml:space="preserve">м</w:t>
      </w:r>
      <w:r>
        <w:rPr>
          <w:sz w:val="28"/>
          <w:szCs w:val="22"/>
        </w:rPr>
        <w:t xml:space="preserve">му 100,0 млн. руб. и более,</w:t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авансовые платежи на сумму 30,0 млн. руб. и более по контрактам (догов</w:t>
      </w:r>
      <w:r>
        <w:rPr>
          <w:sz w:val="28"/>
          <w:szCs w:val="22"/>
        </w:rPr>
        <w:t xml:space="preserve">о</w:t>
      </w:r>
      <w:r>
        <w:rPr>
          <w:sz w:val="28"/>
          <w:szCs w:val="22"/>
        </w:rPr>
        <w:t xml:space="preserve">рам) на выполнение работ, оказание услуг, заключаемым исполнителями и сои</w:t>
      </w:r>
      <w:r>
        <w:rPr>
          <w:sz w:val="28"/>
          <w:szCs w:val="22"/>
        </w:rPr>
        <w:t xml:space="preserve">с</w:t>
      </w:r>
      <w:r>
        <w:rPr>
          <w:sz w:val="28"/>
          <w:szCs w:val="22"/>
        </w:rPr>
        <w:t xml:space="preserve">полнителями в рамках исполнения указанных в абзацах втором, третьем насто</w:t>
      </w:r>
      <w:r>
        <w:rPr>
          <w:sz w:val="28"/>
          <w:szCs w:val="22"/>
        </w:rPr>
        <w:t xml:space="preserve">я</w:t>
      </w:r>
      <w:r>
        <w:rPr>
          <w:sz w:val="28"/>
          <w:szCs w:val="22"/>
        </w:rPr>
        <w:t xml:space="preserve">щего пункта муниципальных контрактов (контрактов, договоров).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4. Рекомендовать муниципальным автономным учреждени</w:t>
      </w:r>
      <w:r>
        <w:rPr>
          <w:sz w:val="28"/>
          <w:szCs w:val="22"/>
        </w:rPr>
        <w:t xml:space="preserve">ям учитывать средства, полученные от оказания платных услуг, в виде безвозмездных посту</w:t>
      </w:r>
      <w:r>
        <w:rPr>
          <w:sz w:val="28"/>
          <w:szCs w:val="22"/>
        </w:rPr>
        <w:t xml:space="preserve">п</w:t>
      </w:r>
      <w:r>
        <w:rPr>
          <w:sz w:val="28"/>
          <w:szCs w:val="22"/>
        </w:rPr>
        <w:t xml:space="preserve">лений от физических и юридических лиц, в том числе добровольных пожертвов</w:t>
      </w:r>
      <w:r>
        <w:rPr>
          <w:sz w:val="28"/>
          <w:szCs w:val="22"/>
        </w:rPr>
        <w:t xml:space="preserve">а</w:t>
      </w:r>
      <w:r>
        <w:rPr>
          <w:sz w:val="28"/>
          <w:szCs w:val="22"/>
        </w:rPr>
        <w:t xml:space="preserve">ний, а также от иной приносящей доход деятельности, на лицевых счетах, ведение которых осуществляется финансовым органом.</w:t>
      </w: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8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 предоставить право направлять с последу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щим внесением изменений в решение о бюджете города остатки средств бюджета города по состоянию на 01.01.2024, образовавшиеся в связи с неполным испол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зованием получателями средств бюджета лимитов бюджетных обязательств,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веденных на 2023 год, в следующем порядке: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bookmarkStart w:id="1" w:name="P116"/>
      <w:bookmarkEnd w:id="1"/>
      <w:r>
        <w:rPr>
          <w:sz w:val="28"/>
          <w:szCs w:val="28"/>
        </w:rPr>
        <w:t xml:space="preserve">на оплату заключенных контрактов, подлежавших в соответствии с услов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ями этих контрактов оплате в отчетном финансовом году, в объеме, не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превышающем остатка не использованных на начало текущего финансового года бюджетных ассигнований на исполнение указанных контрактов, в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ствии с требованиями, установленными Бюджетным кодексом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оплату контрактов, заключенных в текущем финансовом году по резул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татам размещения муниципального заказа в отчетном финансовом году, в объеме, не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превышающем остатка не использованных на начало текущего финансового года бюджетных ассигнований на исполнение указанных контрактов,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по развитию микрорайонов города Перми, за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исключением направлений остатков средств бюджета города, предусмотренных абзацами вторым и третьим настоящей статьи, в объеме, не превышающем оста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 не использованных на начало текущего финансового года бюджетных ассигн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ваний на реализацию данных мероприятий, - на те же цели в 2024 году в качестве дополнительного источника финансирования.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9</w:t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 города без внесения изменений в бюджет города является распределение бюджетных ассигнований, нераспределенных настоящим решением (зарезервированных), в составе утвержденных статьей 4 настоящего решения: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бюджетных ассигнований на реализацию мероприятий, направленных на решение отдельных вопросов местного значения в микрорайонах города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бюджетных ассигнований на проведение мероприятий в рамках реализации проектов инициативного бюджетирования в городе Перми,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бюджетных ассигнований на благоустройство территорий индивидуальной жилой застройки в городе Перми,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бюджетных ассигнований на исполнение судебных актов, вступивших в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конную силу.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в соответствии с пунктом 8 статьи 217 Бюджетного кодекса Российской Федерации следующие основания для внесения изменений в показ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тели сводной бюджетной росписи бюджета города, связанные с особенностями исполнения бюджета города, без внесения изменений в решение о бюджете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да: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 между главными распоряд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телями бюджетных средств на проведение мероприятий в соответствии с норм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тивными правовыми актами администрации города Перми об утверждении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ципальных программ без изменения целевого направления средств,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администрацией города Перми решений о внесении изменений в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решения об осуществлении капитальных вложений в объекты муниципальной собственности - в пределах утвержденного объема бюджетных ассигнований на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бюджетные инвестиции по главному распорядителю бюджетных средств и 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речня объектов бюджетных инвестиций в соответствии с утвержденными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ципальными программами,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численности детей в муниципальных учреждениях различного типа, связанное с закрытием учреждений на капитальный ремонт и, соответстве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но, корректировкой муниципальных заданий на оказание муниципальных услуг,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ассигнований, предусмотренных главному распорядителю бюджетных средств, между группами, подгруппами и элементами видов расходов классификации расходов бюджетов,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 на финансовое обеспечение публичных нормативных обязательств между разделами, подразделами, целевыми статьями (муниципальными программами и непрограммными направлениями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ятельности), группами и подгруппами видов расходов классификации расходов бюджетов в пределах общего объема бюджетных ассигнований, предусмотренн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главному распорядителю бюджетных средств на исполнение публичных но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мативных обязательств в текущем финансовом году,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 в соответствии с пунктом 6.3 статьи 6 Положения о денежном содержании муниципальных служащих города Перми и пунктом 3 статьи 6 Положения об оплате труда лиц, замещающих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ципальные должности, осуществляющих свои полномочия на постоянной основе, утвержденных решением Пермской городской Думы от 26.12.2006 № 355 «О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нормативных актах, регулирующих вопросы оплаты труда лиц, замещающих муниципальные должности, осуществляющих свои полномочия на постоянной основе, и денежного содержания муниципальных служащих города Перми», ме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ду целевыми статьями и видами расходов на обеспечение деятельности органов местного самоуправления,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ассигнований, предусмотренных решением о бюджете города на фонд оплаты труда и фонд материальных затрат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служащих города Перми, а также работников администрации города Перми, занимающих должности, не отнесенные к должностям муниципальной службы, между главными распорядителями бюджетных средств в случае прин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тия соответствующих правовых актов администрации города Перми,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 между основными меропри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тиями, мероприятиями (направлениями расходов) муниципальных программ с ц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лью обеспечения достижения плановых значений целевых показателей,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ленных указами Президента Российской Федерации от 07.05.2012 № 597,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01.</w:t>
      </w:r>
      <w:r>
        <w:rPr>
          <w:sz w:val="28"/>
          <w:szCs w:val="28"/>
        </w:rPr>
        <w:t xml:space="preserve">06.2012 № 761,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направление, а также распределение (перераспределение) межбюджетных трансфертов, имеющих целевое назначение, полученных из бюджета Пермского края, субъектам (между субъектами) реализации переданных полномочий из чи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ла функциональных органов (функциональных подразделений), территориальных органов администрации города Перми в соответствии с порядками,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ными Правительством Пермского края,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 между кодами бюджетной классификации, включая внесение изменений в наименование, при условии пол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чения субсидии из бюджета Пермского края на условиях софинансирования ра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ходов на реализацию мероприятий, включенных в муниципальные программы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Перми, без изменения целевого назначения,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 между разделами, подразд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лами, целевыми статьями в пределах общего объема единой субвенции на 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нение отдельных государственных полномочий в сфере образования,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 между видами источников финансирования дефицита бюджета города Перми,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дотаций из бюджета Пермского края,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(уточнение) кодов бюджетной классификации расходов бюджета без изменения целевого назначения средств, вызванное необходимостью: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исполнителей в пределах утвержденного объема бюджетных 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сигнований по главному распорядителю бюджетных средств,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приведения кодов бюджетной классификации расходов в соответствие тр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бованиям приказа Министерства финансов Российской Федерации от 24.05.2022 № 82н «О Порядке формирования и применения кодов бюджетной классифик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Российской Федерации, их структуре и принципах назначения» при внесении изменений в указанный приказ (уточнение кодов разделов, подразделов, видов расходов),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устранения технических ошибок в целях исправления неправильного толк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применения бюджетной классификации расходов при составлении проекта бюджета и внесении изменений в бюджет (уточнение кодов разделов, подразд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лов, целевых статей, видов расходов).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10</w:t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что за счет средств бюджета города предоставляются субс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дии юридическим лицам (за исключением субсидий государственным (муниц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пальным) учреждениям), индивидуальным предпринимателям, а также физич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ским лицам - производителям товаров, работ, услуг и некоммерческим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циям на безвозмездной и безвозвратной основе в целях возмещения недополуче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доходов и (или) финансового обеспечения (возмещения) затрат в связи с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изводством (реализацией) товаров, выполнением работ, оказанием услуг, гранты в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форме субсидий в случаях, установленных приложением 8 к настоящему реш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Порядки предоставления субсидий, грантов в форме субсидий устанавл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ваются администрацией города Перми.</w:t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Статья 1</w:t>
      </w:r>
      <w:r>
        <w:rPr>
          <w:sz w:val="28"/>
        </w:rPr>
        <w:t xml:space="preserve">1</w:t>
      </w:r>
    </w:p>
    <w:p>
      <w:pPr>
        <w:pStyle w:val="Normal"/>
        <w:ind w:firstLine="709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Рекомендовать администрации города Перми:</w:t>
      </w:r>
    </w:p>
    <w:p>
      <w:pPr>
        <w:pStyle w:val="Normal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 П</w:t>
      </w:r>
      <w:r>
        <w:rPr>
          <w:sz w:val="28"/>
        </w:rPr>
        <w:t xml:space="preserve">роизводить расходование средств бюджета города после утверждения (актуализации) расходных обязательств по следующим направлениям расходов:</w:t>
      </w:r>
    </w:p>
    <w:p>
      <w:pPr>
        <w:pStyle w:val="Normal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1.1 приобретение и оснащение обору</w:t>
      </w:r>
      <w:r>
        <w:rPr>
          <w:sz w:val="28"/>
        </w:rPr>
        <w:t xml:space="preserve">дованием, средствами обучения и </w:t>
      </w:r>
      <w:r>
        <w:rPr>
          <w:sz w:val="28"/>
        </w:rPr>
        <w:t xml:space="preserve">воспитания, мебелью, инвентарем вновь соз</w:t>
      </w:r>
      <w:r>
        <w:rPr>
          <w:sz w:val="28"/>
        </w:rPr>
        <w:t xml:space="preserve">данных мест для обучающихся для </w:t>
      </w:r>
      <w:r>
        <w:rPr>
          <w:sz w:val="28"/>
        </w:rPr>
        <w:t xml:space="preserve">образовательного учреждения «Средняя об</w:t>
      </w:r>
      <w:r>
        <w:rPr>
          <w:sz w:val="28"/>
        </w:rPr>
        <w:t xml:space="preserve">щеобразовательная школа № 146 с </w:t>
      </w:r>
      <w:r>
        <w:rPr>
          <w:sz w:val="28"/>
        </w:rPr>
        <w:t xml:space="preserve">углубленным изучением математики, физики, информатики» г. Перми (здание по ул. Уральской, 110);</w:t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1.2 выплаты гражданам денежного</w:t>
      </w:r>
      <w:r>
        <w:rPr>
          <w:bCs/>
          <w:sz w:val="28"/>
        </w:rPr>
        <w:t xml:space="preserve"> вознаграждения за содействие в </w:t>
      </w:r>
      <w:r>
        <w:rPr>
          <w:bCs/>
          <w:sz w:val="28"/>
        </w:rPr>
        <w:t xml:space="preserve">выявлении лиц, совершивших административное правонарушение, выражающееся в нанесении на фасад здания, строения, сооружения надписей, графических рисунков и иных изображений вне специально о</w:t>
      </w:r>
      <w:r>
        <w:rPr>
          <w:bCs/>
          <w:sz w:val="28"/>
        </w:rPr>
        <w:t xml:space="preserve">тведенных для этого мест.</w:t>
      </w:r>
      <w:r>
        <w:rPr>
          <w:bCs/>
          <w:sz w:val="28"/>
        </w:rPr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sz w:val="28"/>
        </w:rPr>
        <w:t xml:space="preserve">2. Д</w:t>
      </w:r>
      <w:r>
        <w:rPr>
          <w:sz w:val="28"/>
        </w:rPr>
        <w:t xml:space="preserve">о 01.03.2024 привести реестр расход</w:t>
      </w:r>
      <w:r>
        <w:rPr>
          <w:sz w:val="28"/>
        </w:rPr>
        <w:t xml:space="preserve">ных обязательств города Перми в </w:t>
      </w:r>
      <w:r>
        <w:rPr>
          <w:sz w:val="28"/>
        </w:rPr>
        <w:t xml:space="preserve">соответствие требован</w:t>
      </w:r>
      <w:r>
        <w:rPr>
          <w:sz w:val="28"/>
        </w:rPr>
        <w:t xml:space="preserve">иям бюджетного законодательства.</w:t>
      </w:r>
      <w:r>
        <w:rPr>
          <w:bCs/>
          <w:sz w:val="28"/>
        </w:rPr>
      </w:r>
    </w:p>
    <w:p>
      <w:pPr>
        <w:pStyle w:val="Normal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Н</w:t>
      </w:r>
      <w:r>
        <w:rPr>
          <w:sz w:val="28"/>
        </w:rPr>
        <w:t xml:space="preserve">аправить в Пермскую городскую Думу:</w:t>
      </w:r>
    </w:p>
    <w:p>
      <w:pPr>
        <w:pStyle w:val="Normal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3.1</w:t>
      </w:r>
      <w:r>
        <w:rPr>
          <w:sz w:val="28"/>
        </w:rPr>
        <w:t xml:space="preserve"> до 01.03.2024 информацию о сметной стоимости по результатам пров</w:t>
      </w:r>
      <w:r>
        <w:rPr>
          <w:sz w:val="28"/>
        </w:rPr>
        <w:t xml:space="preserve">е</w:t>
      </w:r>
      <w:r>
        <w:rPr>
          <w:sz w:val="28"/>
        </w:rPr>
        <w:t xml:space="preserve">дения государственной экспертизы достоверности определения сметной стоим</w:t>
      </w:r>
      <w:r>
        <w:rPr>
          <w:sz w:val="28"/>
        </w:rPr>
        <w:t xml:space="preserve">о</w:t>
      </w:r>
      <w:r>
        <w:rPr>
          <w:sz w:val="28"/>
        </w:rPr>
        <w:t xml:space="preserve">сти реконструкции здания по ул. Уральской, 110 для размещения общеобразов</w:t>
      </w:r>
      <w:r>
        <w:rPr>
          <w:sz w:val="28"/>
        </w:rPr>
        <w:t xml:space="preserve">а</w:t>
      </w:r>
      <w:r>
        <w:rPr>
          <w:sz w:val="28"/>
        </w:rPr>
        <w:t xml:space="preserve">тельной организации г. Перми и при необходимости обеспечить внесение соо</w:t>
      </w:r>
      <w:r>
        <w:rPr>
          <w:sz w:val="28"/>
        </w:rPr>
        <w:t xml:space="preserve">т</w:t>
      </w:r>
      <w:r>
        <w:rPr>
          <w:sz w:val="28"/>
        </w:rPr>
        <w:t xml:space="preserve">ветствующих изменений в бюджет города;</w:t>
      </w:r>
    </w:p>
    <w:p>
      <w:pPr>
        <w:pStyle w:val="Normal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3.2</w:t>
      </w:r>
      <w:r>
        <w:rPr>
          <w:bCs/>
          <w:sz w:val="28"/>
        </w:rPr>
        <w:t xml:space="preserve"> до 01.04.2025 информацию о результатах и экономическом эффекте пр</w:t>
      </w:r>
      <w:r>
        <w:rPr>
          <w:bCs/>
          <w:sz w:val="28"/>
        </w:rPr>
        <w:t xml:space="preserve">о</w:t>
      </w:r>
      <w:r>
        <w:rPr>
          <w:bCs/>
          <w:sz w:val="28"/>
        </w:rPr>
        <w:t xml:space="preserve">ведения модернизации информацио</w:t>
      </w:r>
      <w:r>
        <w:rPr>
          <w:bCs/>
          <w:sz w:val="28"/>
        </w:rPr>
        <w:t xml:space="preserve">нной системы управления землями.</w:t>
      </w:r>
      <w:r>
        <w:rPr>
          <w:sz w:val="28"/>
        </w:rPr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4. </w:t>
      </w:r>
      <w:r>
        <w:rPr>
          <w:bCs/>
          <w:sz w:val="28"/>
        </w:rPr>
        <w:t xml:space="preserve">До 01.07.2024</w:t>
      </w:r>
      <w:r>
        <w:rPr>
          <w:bCs/>
          <w:sz w:val="28"/>
        </w:rPr>
        <w:t xml:space="preserve"> проработать вопросы:</w:t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4.1 выделения средств бюджета города на обустройство объекта озеленения общего пользования в микрорайон</w:t>
      </w:r>
      <w:r>
        <w:rPr>
          <w:bCs/>
          <w:sz w:val="28"/>
        </w:rPr>
        <w:t xml:space="preserve">е Запруд на земельном участке с </w:t>
      </w:r>
      <w:r>
        <w:rPr>
          <w:bCs/>
          <w:sz w:val="28"/>
        </w:rPr>
        <w:t xml:space="preserve">кадастровым номером 59:01:4019054:226;</w:t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4.2 ранжирования реализации второго этапа обустройства «Умной» спо</w:t>
      </w:r>
      <w:r>
        <w:rPr>
          <w:bCs/>
          <w:sz w:val="28"/>
        </w:rPr>
        <w:t xml:space="preserve">р</w:t>
      </w:r>
      <w:r>
        <w:rPr>
          <w:bCs/>
          <w:sz w:val="28"/>
        </w:rPr>
        <w:t xml:space="preserve">тивной площадки по адресу: ул. Докучаева, 21;</w:t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4.3</w:t>
      </w:r>
      <w:r>
        <w:rPr>
          <w:sz w:val="28"/>
        </w:rPr>
        <w:t xml:space="preserve"> устранения несоответствия объема расходов бюджета города, заплан</w:t>
      </w:r>
      <w:r>
        <w:rPr>
          <w:sz w:val="28"/>
        </w:rPr>
        <w:t xml:space="preserve">и</w:t>
      </w:r>
      <w:r>
        <w:rPr>
          <w:sz w:val="28"/>
        </w:rPr>
        <w:t xml:space="preserve">рованного на софинансирование обуст</w:t>
      </w:r>
      <w:r>
        <w:rPr>
          <w:sz w:val="28"/>
        </w:rPr>
        <w:t xml:space="preserve">ройства набережной реки Камы от </w:t>
      </w:r>
      <w:r>
        <w:rPr>
          <w:sz w:val="28"/>
        </w:rPr>
        <w:t xml:space="preserve">торгового центра «Речник» до территории ООО «Мотовилихинские заводы», объему расходов, предусмотренному постановлением Правительства Пермского края от 25.03.2019 № 224-п «Об утверждении Порядка предоставления, распред</w:t>
      </w:r>
      <w:r>
        <w:rPr>
          <w:sz w:val="28"/>
        </w:rPr>
        <w:t xml:space="preserve">е</w:t>
      </w:r>
      <w:r>
        <w:rPr>
          <w:sz w:val="28"/>
        </w:rPr>
        <w:t xml:space="preserve">ления и расходования субсидии из бюджета Пермского края бюджету Пермского городского округа на реализацию мероприятий по развитию городского пр</w:t>
      </w:r>
      <w:r>
        <w:rPr>
          <w:sz w:val="28"/>
        </w:rPr>
        <w:t xml:space="preserve">о</w:t>
      </w:r>
      <w:r>
        <w:rPr>
          <w:sz w:val="28"/>
        </w:rPr>
        <w:t xml:space="preserve">странства», с учетом результатов государственной экспертизы по итогам оценки достоверности сметн</w:t>
      </w:r>
      <w:r>
        <w:rPr>
          <w:sz w:val="28"/>
        </w:rPr>
        <w:t xml:space="preserve">ой стоимости указанного объекта.</w:t>
      </w:r>
      <w:r>
        <w:rPr>
          <w:bCs/>
          <w:sz w:val="28"/>
        </w:rPr>
      </w:r>
    </w:p>
    <w:p>
      <w:pPr>
        <w:pStyle w:val="Normal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5. О</w:t>
      </w:r>
      <w:r>
        <w:rPr>
          <w:sz w:val="28"/>
        </w:rPr>
        <w:t xml:space="preserve">беспечить обустройство остановочных пунктов, подлежащих привед</w:t>
      </w:r>
      <w:r>
        <w:rPr>
          <w:sz w:val="28"/>
        </w:rPr>
        <w:t xml:space="preserve">е</w:t>
      </w:r>
      <w:r>
        <w:rPr>
          <w:sz w:val="28"/>
        </w:rPr>
        <w:t xml:space="preserve">нию в нормативное состояние в соответствии с представлениями Государстве</w:t>
      </w:r>
      <w:r>
        <w:rPr>
          <w:sz w:val="28"/>
        </w:rPr>
        <w:t xml:space="preserve">н</w:t>
      </w:r>
      <w:r>
        <w:rPr>
          <w:sz w:val="28"/>
        </w:rPr>
        <w:t xml:space="preserve">ной инспекции безопасности дорожного движ</w:t>
      </w:r>
      <w:r>
        <w:rPr>
          <w:sz w:val="28"/>
        </w:rPr>
        <w:t xml:space="preserve">ения и прокуратуры города Перми.</w:t>
      </w:r>
      <w:r>
        <w:rPr>
          <w:sz w:val="28"/>
        </w:rPr>
      </w:r>
    </w:p>
    <w:p>
      <w:pPr>
        <w:pStyle w:val="Normal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6. До 01.05.2024</w:t>
      </w:r>
      <w:r>
        <w:rPr>
          <w:sz w:val="28"/>
        </w:rPr>
        <w:t xml:space="preserve"> учесть замечания и предложения Контрольно-счетной п</w:t>
      </w:r>
      <w:r>
        <w:rPr>
          <w:sz w:val="28"/>
        </w:rPr>
        <w:t xml:space="preserve">а</w:t>
      </w:r>
      <w:r>
        <w:rPr>
          <w:sz w:val="28"/>
        </w:rPr>
        <w:t xml:space="preserve">латы города Перми по вопросу форм</w:t>
      </w:r>
      <w:r>
        <w:rPr>
          <w:sz w:val="28"/>
        </w:rPr>
        <w:t xml:space="preserve">ирования муниципальных программ.</w:t>
      </w:r>
      <w:r>
        <w:rPr>
          <w:sz w:val="28"/>
        </w:rPr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7. Е</w:t>
      </w:r>
      <w:r>
        <w:rPr>
          <w:bCs/>
          <w:sz w:val="28"/>
        </w:rPr>
        <w:t xml:space="preserve">жегодно не позднее 15 февраля года, следующего за отчетным годом, представлять в Пермскую городскую Думу информацию о результатах разработки за счет грантов, предоставляемых из бюджета города, в форме субсидий госуда</w:t>
      </w:r>
      <w:r>
        <w:rPr>
          <w:bCs/>
          <w:sz w:val="28"/>
        </w:rPr>
        <w:t xml:space="preserve">р</w:t>
      </w:r>
      <w:r>
        <w:rPr>
          <w:bCs/>
          <w:sz w:val="28"/>
        </w:rPr>
        <w:t xml:space="preserve">ственному бюджетному учреждению Пермского края «Институт территориальн</w:t>
      </w:r>
      <w:r>
        <w:rPr>
          <w:bCs/>
          <w:sz w:val="28"/>
        </w:rPr>
        <w:t xml:space="preserve">о</w:t>
      </w:r>
      <w:r>
        <w:rPr>
          <w:bCs/>
          <w:sz w:val="28"/>
        </w:rPr>
        <w:t xml:space="preserve">го планирования» градостроительных концепций и концепций благоустройства следующих территорий и объектов озеленения:</w:t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7.1 в 2024 году - ул. Мира от ул. Стахановс</w:t>
      </w:r>
      <w:r>
        <w:rPr>
          <w:bCs/>
          <w:sz w:val="28"/>
        </w:rPr>
        <w:t xml:space="preserve">к</w:t>
      </w:r>
      <w:r>
        <w:rPr>
          <w:bCs/>
          <w:sz w:val="28"/>
        </w:rPr>
        <w:t xml:space="preserve">ой</w:t>
      </w:r>
      <w:r>
        <w:rPr>
          <w:bCs/>
          <w:sz w:val="28"/>
        </w:rPr>
        <w:t xml:space="preserve"> до ул. Советской Армии; ул. </w:t>
      </w:r>
      <w:r>
        <w:rPr>
          <w:bCs/>
          <w:sz w:val="28"/>
        </w:rPr>
        <w:t xml:space="preserve">Мира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от ул. Советской Армии до ул. Одоевского; ул. Мира от ул. Одоевского до отстойно-разворотной площадки автобусов по шоссе Космонавтов; террит</w:t>
      </w:r>
      <w:r>
        <w:rPr>
          <w:bCs/>
          <w:sz w:val="28"/>
        </w:rPr>
        <w:t xml:space="preserve">о</w:t>
      </w:r>
      <w:r>
        <w:rPr>
          <w:bCs/>
          <w:sz w:val="28"/>
        </w:rPr>
        <w:t xml:space="preserve">рии, соединяющей</w:t>
      </w:r>
      <w:r>
        <w:rPr>
          <w:bCs/>
          <w:sz w:val="28"/>
        </w:rPr>
        <w:t xml:space="preserve"> Мотовилихинский пруд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и выход из сада им. Свердлова с м</w:t>
      </w:r>
      <w:r>
        <w:rPr>
          <w:bCs/>
          <w:sz w:val="28"/>
        </w:rPr>
        <w:t xml:space="preserve">е</w:t>
      </w:r>
      <w:r>
        <w:rPr>
          <w:bCs/>
          <w:sz w:val="28"/>
        </w:rPr>
        <w:t xml:space="preserve">стом отдыха людей у воды; сквер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им. Борцов Ре</w:t>
      </w:r>
      <w:r>
        <w:rPr>
          <w:bCs/>
          <w:sz w:val="28"/>
        </w:rPr>
        <w:t xml:space="preserve">волюции (возле Музея-Диорамы) и </w:t>
      </w:r>
      <w:r>
        <w:rPr>
          <w:bCs/>
          <w:sz w:val="28"/>
        </w:rPr>
        <w:t xml:space="preserve">склон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горы Вышка; алле</w:t>
      </w:r>
      <w:r>
        <w:rPr>
          <w:bCs/>
          <w:sz w:val="28"/>
        </w:rPr>
        <w:t xml:space="preserve">и</w:t>
      </w:r>
      <w:r>
        <w:rPr>
          <w:bCs/>
          <w:sz w:val="28"/>
        </w:rPr>
        <w:t xml:space="preserve"> в микрорайоне Борови</w:t>
      </w:r>
      <w:r>
        <w:rPr>
          <w:bCs/>
          <w:sz w:val="28"/>
        </w:rPr>
        <w:t xml:space="preserve">ки (з/у 59:01:173559:1670); с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д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 </w:t>
      </w:r>
      <w:r>
        <w:rPr>
          <w:bCs/>
          <w:sz w:val="28"/>
        </w:rPr>
        <w:t xml:space="preserve">им. Любимова (сад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им. Кирова) (угол ул. 25-го Октября и ул. Луначарского (четная сторона), угол ул. 25-го Октября и ул. Луначарского (н</w:t>
      </w:r>
      <w:r>
        <w:rPr>
          <w:bCs/>
          <w:sz w:val="28"/>
        </w:rPr>
        <w:t xml:space="preserve">ечетная сторона)); экологического</w:t>
      </w:r>
      <w:r>
        <w:rPr>
          <w:bCs/>
          <w:sz w:val="28"/>
        </w:rPr>
        <w:t xml:space="preserve"> парк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«Южный лес»</w:t>
      </w:r>
      <w:r>
        <w:rPr>
          <w:bCs/>
          <w:sz w:val="28"/>
        </w:rPr>
        <w:t xml:space="preserve">;</w:t>
      </w:r>
      <w:r>
        <w:rPr>
          <w:bCs/>
          <w:sz w:val="28"/>
        </w:rPr>
        <w:t xml:space="preserve"> сквер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по ул. Трясолобова;</w:t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7.2 в 2025 году - территории</w:t>
      </w:r>
      <w:r>
        <w:rPr>
          <w:bCs/>
          <w:sz w:val="28"/>
        </w:rPr>
        <w:t xml:space="preserve"> возле разворотного</w:t>
      </w:r>
      <w:r>
        <w:rPr>
          <w:bCs/>
          <w:sz w:val="28"/>
        </w:rPr>
        <w:t xml:space="preserve"> кольца трамвая в </w:t>
      </w:r>
      <w:r>
        <w:rPr>
          <w:bCs/>
          <w:sz w:val="28"/>
        </w:rPr>
        <w:t xml:space="preserve">микрорайоне Владимирский (Южный-Юби</w:t>
      </w:r>
      <w:r>
        <w:rPr>
          <w:bCs/>
          <w:sz w:val="28"/>
        </w:rPr>
        <w:t xml:space="preserve">лейный-Владимирский); территории</w:t>
      </w:r>
      <w:r>
        <w:rPr>
          <w:bCs/>
          <w:sz w:val="28"/>
        </w:rPr>
        <w:t xml:space="preserve"> Андроновских прудов; сквер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по ул. Докуч</w:t>
      </w:r>
      <w:r>
        <w:rPr>
          <w:bCs/>
          <w:sz w:val="28"/>
        </w:rPr>
        <w:t xml:space="preserve">аева 40, 40а, 40б, 40в; сквер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в </w:t>
      </w:r>
      <w:r>
        <w:rPr>
          <w:bCs/>
          <w:sz w:val="28"/>
        </w:rPr>
        <w:t xml:space="preserve">микрорайоне Январский по ул. Кубанской; сквер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в микрорайоне Чапаевский по </w:t>
      </w:r>
      <w:r>
        <w:rPr>
          <w:bCs/>
          <w:sz w:val="28"/>
        </w:rPr>
        <w:t xml:space="preserve">ул. Еловой, 5а; сквер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по ул. Мира в поселке Новые Ляды; сад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им. Декабр</w:t>
      </w:r>
      <w:r>
        <w:rPr>
          <w:bCs/>
          <w:sz w:val="28"/>
        </w:rPr>
        <w:t xml:space="preserve">и</w:t>
      </w:r>
      <w:r>
        <w:rPr>
          <w:bCs/>
          <w:sz w:val="28"/>
        </w:rPr>
        <w:t xml:space="preserve">стов; экологического</w:t>
      </w:r>
      <w:r>
        <w:rPr>
          <w:bCs/>
          <w:sz w:val="28"/>
        </w:rPr>
        <w:t xml:space="preserve"> парк</w:t>
      </w:r>
      <w:r>
        <w:rPr>
          <w:bCs/>
          <w:sz w:val="28"/>
        </w:rPr>
        <w:t xml:space="preserve">а в долине реки Ив</w:t>
      </w:r>
      <w:r>
        <w:rPr>
          <w:bCs/>
          <w:sz w:val="28"/>
        </w:rPr>
        <w:t xml:space="preserve">ы</w:t>
      </w:r>
      <w:r>
        <w:rPr>
          <w:bCs/>
          <w:sz w:val="28"/>
        </w:rPr>
        <w:t xml:space="preserve">; экологического</w:t>
      </w:r>
      <w:r>
        <w:rPr>
          <w:bCs/>
          <w:sz w:val="28"/>
        </w:rPr>
        <w:t xml:space="preserve"> парк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в долине реки Мулянки;</w:t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7.3 в 2026 году – общественного пространства</w:t>
      </w:r>
      <w:r>
        <w:rPr>
          <w:bCs/>
          <w:sz w:val="28"/>
        </w:rPr>
        <w:t xml:space="preserve"> между домами по шоссе Космонавтов, 98-102 и ул. Плеханова, 69-73; сквер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по ул. Таврической; общ</w:t>
      </w:r>
      <w:r>
        <w:rPr>
          <w:bCs/>
          <w:sz w:val="28"/>
        </w:rPr>
        <w:t xml:space="preserve">е</w:t>
      </w:r>
      <w:r>
        <w:rPr>
          <w:bCs/>
          <w:sz w:val="28"/>
        </w:rPr>
        <w:t xml:space="preserve">ственного</w:t>
      </w:r>
      <w:r>
        <w:rPr>
          <w:bCs/>
          <w:sz w:val="28"/>
        </w:rPr>
        <w:t xml:space="preserve"> прос</w:t>
      </w:r>
      <w:r>
        <w:rPr>
          <w:bCs/>
          <w:sz w:val="28"/>
        </w:rPr>
        <w:t xml:space="preserve">транства</w:t>
      </w:r>
      <w:r>
        <w:rPr>
          <w:bCs/>
          <w:sz w:val="28"/>
        </w:rPr>
        <w:t xml:space="preserve"> по ул. Ветлужской; сквер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по ул. Пензенской; парк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«Патриот»; сквер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по ул. Хрустальной; сквер</w:t>
      </w:r>
      <w:r>
        <w:rPr>
          <w:bCs/>
          <w:sz w:val="28"/>
        </w:rPr>
        <w:t xml:space="preserve">а в микрорайоне Октябрьский (в </w:t>
      </w:r>
      <w:r>
        <w:rPr>
          <w:bCs/>
          <w:sz w:val="28"/>
        </w:rPr>
        <w:t xml:space="preserve">рамках приоритетного проекта Свердловского района «Район без окраин»); с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д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им. 250-летия города Перми (между ул. Ленина и ул. Окулова до трамвайных путей, угол ул. Окулова и ул. Петропавловской до ул. Ленина); охран</w:t>
      </w:r>
      <w:r>
        <w:rPr>
          <w:bCs/>
          <w:sz w:val="28"/>
        </w:rPr>
        <w:t xml:space="preserve">яемого</w:t>
      </w:r>
      <w:r>
        <w:rPr>
          <w:bCs/>
          <w:sz w:val="28"/>
        </w:rPr>
        <w:t xml:space="preserve"> ландшафт</w:t>
      </w:r>
      <w:r>
        <w:rPr>
          <w:bCs/>
          <w:sz w:val="28"/>
        </w:rPr>
        <w:t xml:space="preserve">а</w:t>
      </w:r>
      <w:r>
        <w:rPr>
          <w:bCs/>
          <w:sz w:val="28"/>
        </w:rPr>
        <w:t xml:space="preserve"> «Красные Горки».</w:t>
      </w:r>
      <w:r>
        <w:rPr>
          <w:bCs/>
          <w:sz w:val="28"/>
        </w:rPr>
      </w:r>
    </w:p>
    <w:p>
      <w:pPr>
        <w:pStyle w:val="Normal"/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8. Д</w:t>
      </w:r>
      <w:r>
        <w:rPr>
          <w:bCs/>
          <w:sz w:val="28"/>
        </w:rPr>
        <w:t xml:space="preserve">о 01.08.2024 по итогам исполнения за 6 месяцев 2024 года бюджета г</w:t>
      </w:r>
      <w:r>
        <w:rPr>
          <w:bCs/>
          <w:sz w:val="28"/>
        </w:rPr>
        <w:t xml:space="preserve">о</w:t>
      </w:r>
      <w:r>
        <w:rPr>
          <w:bCs/>
          <w:sz w:val="28"/>
        </w:rPr>
        <w:t xml:space="preserve">рода обеспечить внесение в него изменений в части увеличения поступления д</w:t>
      </w:r>
      <w:r>
        <w:rPr>
          <w:bCs/>
          <w:sz w:val="28"/>
        </w:rPr>
        <w:t xml:space="preserve">о</w:t>
      </w:r>
      <w:r>
        <w:rPr>
          <w:bCs/>
          <w:sz w:val="28"/>
        </w:rPr>
        <w:t xml:space="preserve">ходов от предоставления на платной основе парковок (парковочных мест), расп</w:t>
      </w:r>
      <w:r>
        <w:rPr>
          <w:bCs/>
          <w:sz w:val="28"/>
        </w:rPr>
        <w:t xml:space="preserve">о</w:t>
      </w:r>
      <w:r>
        <w:rPr>
          <w:bCs/>
          <w:sz w:val="28"/>
        </w:rPr>
        <w:t xml:space="preserve">ложенных на автомобильных дорогах общего </w:t>
      </w:r>
      <w:r>
        <w:rPr>
          <w:bCs/>
          <w:sz w:val="28"/>
        </w:rPr>
        <w:t xml:space="preserve">пользования местного значения и </w:t>
      </w:r>
      <w:r>
        <w:rPr>
          <w:bCs/>
          <w:sz w:val="28"/>
        </w:rPr>
        <w:t xml:space="preserve">местах внеуличной дорожной сети, относящихся к собственности городских округов, и штрафов за невне</w:t>
      </w:r>
      <w:r>
        <w:rPr>
          <w:bCs/>
          <w:sz w:val="28"/>
        </w:rPr>
        <w:t xml:space="preserve">сение платы за пользование ими.</w:t>
      </w:r>
      <w:r>
        <w:rPr>
          <w:bCs/>
          <w:sz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12</w:t>
      </w:r>
      <w:r>
        <w:rPr>
          <w:bCs/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 Настоящее решен</w:t>
      </w:r>
      <w:r>
        <w:rPr>
          <w:sz w:val="28"/>
          <w:szCs w:val="22"/>
        </w:rPr>
        <w:t xml:space="preserve">ие вступает в силу с 01.01.2024, но не ранее</w:t>
      </w:r>
      <w:r>
        <w:rPr>
          <w:sz w:val="28"/>
          <w:szCs w:val="22"/>
        </w:rPr>
        <w:t xml:space="preserve"> дня </w:t>
      </w:r>
      <w:r>
        <w:rPr>
          <w:sz w:val="28"/>
          <w:szCs w:val="22"/>
        </w:rPr>
        <w:t xml:space="preserve">его </w:t>
      </w:r>
      <w:r>
        <w:rPr>
          <w:sz w:val="28"/>
          <w:szCs w:val="22"/>
        </w:rPr>
        <w:t xml:space="preserve">официального опубликования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печатном средстве массовой информации «Оф</w:t>
      </w:r>
      <w:r>
        <w:rPr>
          <w:sz w:val="28"/>
          <w:szCs w:val="22"/>
        </w:rPr>
        <w:t xml:space="preserve">и</w:t>
      </w:r>
      <w:r>
        <w:rPr>
          <w:sz w:val="28"/>
          <w:szCs w:val="22"/>
        </w:rPr>
        <w:t xml:space="preserve">циальный бюллетень органов местного самоуправления муниципального образ</w:t>
      </w:r>
      <w:r>
        <w:rPr>
          <w:sz w:val="28"/>
          <w:szCs w:val="22"/>
        </w:rPr>
        <w:t xml:space="preserve">о</w:t>
      </w:r>
      <w:r>
        <w:rPr>
          <w:sz w:val="28"/>
          <w:szCs w:val="22"/>
        </w:rPr>
        <w:t xml:space="preserve">вания город Пермь».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печатном средстве массовой инфо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мации «Официальный бюллетень органов местного самоуправления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 образования город Пермь», а также опубликовать (обнародовать) настоящее решение на официальном сайте муниципального образования город Пермь в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формационно-телекоммуникационной сети Интернет.</w:t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13</w:t>
      </w:r>
      <w:r>
        <w:rPr>
          <w:bCs/>
          <w:sz w:val="28"/>
          <w:szCs w:val="28"/>
        </w:rPr>
      </w:r>
    </w:p>
    <w:p>
      <w:pPr>
        <w:pStyle w:val="Normal"/>
        <w:widowControl w:val="off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решения возложить на комитет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по бюджету и налогам.</w:t>
      </w:r>
    </w:p>
    <w:p>
      <w:pPr>
        <w:pStyle w:val="Normal"/>
        <w:tabs>
          <w:tab w:val="left" w:pos="7938" w:leader="none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</w:p>
    <w:p>
      <w:pPr>
        <w:pStyle w:val="Normal"/>
        <w:tabs>
          <w:tab w:val="left" w:pos="793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</w:t>
        <w:tab/>
        <w:t xml:space="preserve">   Д.В. Малютин</w:t>
      </w:r>
    </w:p>
    <w:p>
      <w:pPr>
        <w:pStyle w:val="Normal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  <w:t xml:space="preserve">                                                                               Э.О. Соснин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9"/>
        <w:tabs>
          <w:tab w:val="right" w:pos="991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tabs>
          <w:tab w:val="right" w:pos="991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tabs>
          <w:tab w:val="right" w:pos="991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tabs>
          <w:tab w:val="right" w:pos="991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7"/>
      <w:headerReference w:type="default" r:id="rId8"/>
      <w:footerReference w:type="first" r:id="rId9"/>
      <w:type w:val="nextPage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3030000020003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Consultant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rPr>
        <w:snapToGrid w:val="0"/>
        <w:sz w:val="16"/>
        <w:u w:val="single"/>
      </w:rPr>
    </w:pPr>
    <w:r>
      <w:rPr>
        <w:snapToGrid w:val="0"/>
        <w:sz w:val="16"/>
        <w:u w:val="single"/>
      </w:rPr>
      <w:t xml:space="preserve">Сектор актов Главы города</w:t>
    </w:r>
  </w:p>
  <w:p>
    <w:pPr>
      <w:pStyle w:val="Footer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>
      <w:rPr>
        <w:snapToGrid w:val="0"/>
        <w:sz w:val="16"/>
      </w:rPr>
      <w:t xml:space="preserve">26.12.2023 15:17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>
      <w:rPr>
        <w:snapToGrid w:val="0"/>
        <w:sz w:val="16"/>
      </w:rPr>
      <w:t xml:space="preserve">решение2</w:t>
    </w:r>
    <w:r>
      <w:rPr>
        <w:snapToGrid w:val="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</w:p>
  <w:p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ind w:right="-1" w:firstLine="709"/>
      <w:jc w:val="both"/>
      <w:outlineLvl w:val="0"/>
    </w:pPr>
    <w:rPr>
      <w:sz w:val="24"/>
    </w:rPr>
  </w:style>
  <w:style w:type="paragraph" w:styleId="Heading2">
    <w:name w:val="Заголовок 2"/>
    <w:basedOn w:val="Normal"/>
    <w:next w:val="Normal"/>
    <w:link w:val="Normal"/>
    <w:qFormat/>
    <w:pPr>
      <w:keepNext/>
      <w:ind w:right="-1"/>
      <w:jc w:val="both"/>
      <w:outlineLvl w:val="1"/>
    </w:pPr>
    <w:rPr>
      <w:sz w:val="24"/>
    </w:rPr>
  </w:style>
  <w:style w:type="paragraph" w:styleId="Heading6">
    <w:name w:val="Заголовок 6"/>
    <w:basedOn w:val="Normal"/>
    <w:next w:val="Normal"/>
    <w:link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Caption">
    <w:name w:val="Название объекта"/>
    <w:basedOn w:val="Normal"/>
    <w:next w:val="Normal"/>
    <w:link w:val="Normal"/>
    <w:qFormat/>
    <w:pPr>
      <w:widowControl w:val="off"/>
      <w:spacing w:line="360" w:lineRule="exact"/>
      <w:jc w:val="center"/>
    </w:pPr>
    <w:rPr>
      <w:b/>
      <w:snapToGrid/>
      <w:sz w:val="32"/>
    </w:rPr>
  </w:style>
  <w:style w:type="paragraph" w:styleId="BodyText">
    <w:name w:val="Основной текст"/>
    <w:basedOn w:val="Normal"/>
    <w:next w:val="BodyText"/>
    <w:link w:val="UserStyle_0"/>
    <w:pPr>
      <w:ind w:right="3117"/>
    </w:pPr>
    <w:rPr>
      <w:rFonts w:ascii="Courier New" w:hAnsi="Courier New"/>
      <w:sz w:val="26"/>
    </w:rPr>
  </w:style>
  <w:style w:type="paragraph" w:styleId="BodyTextIndent">
    <w:name w:val="Основной текст с отступом"/>
    <w:basedOn w:val="Normal"/>
    <w:next w:val="BodyTextIndent"/>
    <w:link w:val="UserStyle_1"/>
    <w:pPr>
      <w:ind w:right="-1"/>
      <w:jc w:val="both"/>
    </w:pPr>
    <w:rPr>
      <w:sz w:val="26"/>
    </w:rPr>
  </w:style>
  <w:style w:type="paragraph" w:styleId="Footer">
    <w:name w:val="Нижний колонтитул"/>
    <w:basedOn w:val="Normal"/>
    <w:next w:val="Footer"/>
    <w:link w:val="Normal"/>
    <w:pPr>
      <w:tabs>
        <w:tab w:val="center" w:pos="4153" w:leader="none"/>
        <w:tab w:val="right" w:pos="8306" w:leader="none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Header">
    <w:name w:val="Верхний колонтитул"/>
    <w:basedOn w:val="Normal"/>
    <w:next w:val="Header"/>
    <w:link w:val="UserStyle_2"/>
    <w:uiPriority w:val="99"/>
    <w:pPr>
      <w:tabs>
        <w:tab w:val="center" w:pos="4153" w:leader="none"/>
        <w:tab w:val="right" w:pos="8306" w:leader="none"/>
      </w:tabs>
    </w:pPr>
  </w:style>
  <w:style w:type="paragraph" w:styleId="BodyText3">
    <w:name w:val="Основной текст 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UserStyle_3">
    <w:name w:val="ConsPlusNonformat"/>
    <w:next w:val="UserStyle_3"/>
    <w:link w:val="Normal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UserStyle_4">
    <w:name w:val="ConsPlusNormal"/>
    <w:next w:val="UserStyle_4"/>
    <w:link w:val="UserStyle_5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pacing w:after="120" w:line="480" w:lineRule="auto"/>
      <w:ind w:left="283"/>
    </w:pPr>
  </w:style>
  <w:style w:type="paragraph" w:styleId="UserStyle_6">
    <w:name w:val="ConsNormal"/>
    <w:next w:val="UserStyle_6"/>
    <w:link w:val="Normal"/>
    <w:pPr>
      <w:ind w:firstLine="720"/>
    </w:pPr>
    <w:rPr>
      <w:rFonts w:ascii="Consultant" w:hAnsi="Consultant"/>
      <w:lang w:val="ru-RU" w:eastAsia="ru-RU" w:bidi="ar-SA"/>
    </w:rPr>
  </w:style>
  <w:style w:type="paragraph" w:styleId="UserStyle_7">
    <w:name w:val="ConsNonformat"/>
    <w:next w:val="UserStyle_7"/>
    <w:link w:val="Normal"/>
    <w:rPr>
      <w:rFonts w:ascii="Consultant" w:hAnsi="Consultant"/>
      <w:sz w:val="16"/>
      <w:lang w:val="ru-RU" w:eastAsia="ru-RU" w:bidi="ar-SA"/>
    </w:rPr>
  </w:style>
  <w:style w:type="paragraph" w:styleId="UserStyle_8">
    <w:name w:val="ConsTitle"/>
    <w:next w:val="UserStyle_8"/>
    <w:link w:val="Normal"/>
    <w:rPr>
      <w:rFonts w:ascii="Arial" w:hAnsi="Arial"/>
      <w:b/>
      <w:sz w:val="14"/>
      <w:lang w:val="ru-RU" w:eastAsia="ru-RU" w:bidi="ar-SA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spacing w:after="120"/>
      <w:ind w:left="283"/>
    </w:pPr>
    <w:rPr>
      <w:sz w:val="16"/>
      <w:szCs w:val="16"/>
    </w:rPr>
  </w:style>
  <w:style w:type="paragraph" w:styleId="UserStyle_9">
    <w:name w:val="Стиль"/>
    <w:next w:val="UserStyle_9"/>
    <w:link w:val="Normal"/>
    <w:rPr>
      <w:lang w:val="ru-RU" w:eastAsia="ru-RU" w:bidi="ar-SA"/>
    </w:rPr>
  </w:style>
  <w:style w:type="paragraph" w:styleId="UserStyle_10">
    <w:name w:val="ConsPlusTitle"/>
    <w:next w:val="UserStyle_10"/>
    <w:link w:val="Normal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character" w:styleId="UserStyle_1">
    <w:name w:val="Основной текст с отступом Знак"/>
    <w:next w:val="UserStyle_1"/>
    <w:link w:val="BodyTextIndent"/>
    <w:rPr>
      <w:sz w:val="26"/>
    </w:rPr>
  </w:style>
  <w:style w:type="character" w:styleId="UserStyle_0">
    <w:name w:val="Основной текст Знак"/>
    <w:next w:val="UserStyle_0"/>
    <w:link w:val="BodyText"/>
    <w:rPr>
      <w:rFonts w:ascii="Courier New" w:hAnsi="Courier New"/>
      <w:sz w:val="26"/>
    </w:rPr>
  </w:style>
  <w:style w:type="numbering" w:styleId="UserStyle_11">
    <w:name w:val="Нет списка1"/>
    <w:next w:val="NormalList"/>
    <w:link w:val="Normal"/>
    <w:uiPriority w:val="99"/>
    <w:semiHidden/>
    <w:unhideWhenUsed/>
  </w:style>
  <w:style w:type="character" w:styleId="UserStyle_2">
    <w:name w:val="Верхний колонтитул Знак"/>
    <w:basedOn w:val="NormalCharacter"/>
    <w:next w:val="UserStyle_2"/>
    <w:link w:val="Header"/>
    <w:uiPriority w:val="99"/>
  </w:style>
  <w:style w:type="paragraph" w:styleId="UserStyle_12">
    <w:name w:val="ConsPlusCell"/>
    <w:next w:val="UserStyle_12"/>
    <w:link w:val="Normal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UserStyle_5">
    <w:name w:val="ConsPlusNormal Знак"/>
    <w:next w:val="UserStyle_5"/>
    <w:link w:val="UserStyle_4"/>
    <w:locked/>
    <w:rPr>
      <w:rFonts w:ascii="Arial" w:hAnsi="Arial" w:cs="Arial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1I2">
    <w:name w:val="Красная строка 2"/>
    <w:basedOn w:val="BodyTextIndent"/>
    <w:next w:val="BodyText1I2"/>
    <w:link w:val="UserStyle_13"/>
    <w:pPr>
      <w:ind w:left="360" w:right="0" w:firstLine="360"/>
      <w:jc w:val="left"/>
    </w:pPr>
    <w:rPr>
      <w:sz w:val="20"/>
    </w:rPr>
  </w:style>
  <w:style w:type="character" w:styleId="UserStyle_13">
    <w:name w:val="Красная строка 2 Знак"/>
    <w:next w:val="UserStyle_13"/>
    <w:link w:val="BodyText1I2"/>
    <w:rPr>
      <w:sz w:val="26"/>
    </w:rPr>
  </w:style>
  <w:style w:type="paragraph" w:styleId="PlainText">
    <w:name w:val="Текст"/>
    <w:basedOn w:val="Normal"/>
    <w:next w:val="PlainText"/>
    <w:link w:val="UserStyle_14"/>
    <w:uiPriority w:val="99"/>
    <w:rPr>
      <w:rFonts w:ascii="Courier New" w:hAnsi="Courier New" w:eastAsia="SimSun" w:cs="Courier New"/>
      <w:lang w:eastAsia="zh-CN"/>
    </w:rPr>
  </w:style>
  <w:style w:type="character" w:styleId="UserStyle_14">
    <w:name w:val="Текст Знак"/>
    <w:next w:val="UserStyle_14"/>
    <w:link w:val="PlainText"/>
    <w:uiPriority w:val="99"/>
    <w:rPr>
      <w:rFonts w:ascii="Courier New" w:hAnsi="Courier New" w:eastAsia="SimSun" w:cs="Courier New"/>
      <w:lang w:eastAsia="zh-CN"/>
    </w:rPr>
  </w:style>
  <w:style w:type="paragraph" w:styleId="UserStyle_15">
    <w:name w:val="Нормальный"/>
    <w:next w:val="UserStyle_15"/>
    <w:link w:val="Normal"/>
    <w:uiPriority w:val="99"/>
    <w:pPr>
      <w:widowControl w:val="off"/>
    </w:pPr>
    <w:rPr>
      <w:color w:val="000000"/>
      <w:sz w:val="24"/>
      <w:szCs w:val="24"/>
      <w:lang w:val="ru-RU" w:eastAsia="ru-RU" w:bidi="ar-SA"/>
    </w:rPr>
  </w:style>
  <w:style w:type="paragraph" w:styleId="UserStyle_16">
    <w:name w:val="List Paragraph1"/>
    <w:basedOn w:val="Normal"/>
    <w:next w:val="UserStyle_16"/>
    <w:link w:val="Normal"/>
    <w:uiPriority w:val="99"/>
    <w:pPr>
      <w:ind w:left="720"/>
    </w:pPr>
    <w:rPr>
      <w:rFonts w:ascii="Calibri" w:hAnsi="Calibri" w:eastAsia="Calibri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image" Target="media/image1.wmf"/><Relationship Id="rId11" Type="http://schemas.openxmlformats.org/officeDocument/2006/relationships/image" Target="media/media1.svg"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25316</Characters>
  <CharactersWithSpaces>29698</CharactersWithSpaces>
  <Company>Администрация г. Перми</Company>
  <DocSecurity>8</DocSecurity>
  <HyperlinksChanged>false</HyperlinksChanged>
  <Lines>210</Lines>
  <Pages>12</Pages>
  <Paragraphs>59</Paragraphs>
  <ScaleCrop>false</ScaleCrop>
  <SharedDoc>false</SharedDoc>
  <Template>Normal</Template>
  <Words>4441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dolgikh-sv</cp:lastModifiedBy>
  <cp:revision>2</cp:revision>
  <dcterms:created xsi:type="dcterms:W3CDTF">2023-12-26T10:17:00Z</dcterms:created>
  <dcterms:modified xsi:type="dcterms:W3CDTF">2023-12-26T10:17:00Z</dcterms:modified>
  <cp:version>917504</cp:version>
</cp:coreProperties>
</file>