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cap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aps/>
          <w:sz w:val="28"/>
          <w:szCs w:val="28"/>
        </w:rPr>
      </w:r>
      <w:r>
        <w:rPr>
          <w:rFonts w:ascii="Times New Roman" w:hAnsi="Times New Roman" w:cs="Times New Roman"/>
          <w:b/>
          <w:bCs/>
          <w:caps/>
          <w:sz w:val="28"/>
          <w:szCs w:val="28"/>
        </w:rPr>
      </w:r>
    </w:p>
    <w:p>
      <w:pPr>
        <w:contextualSpacing w:val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caps/>
          <w:sz w:val="32"/>
          <w:szCs w:val="32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aps/>
          <w:sz w:val="32"/>
          <w:szCs w:val="32"/>
        </w:rPr>
        <w:t xml:space="preserve">ОПЕРАТИВНЫЙ АНАЛИЗ Исполнения бюджета</w:t>
      </w:r>
      <w:r>
        <w:rPr>
          <w:rFonts w:ascii="Times New Roman" w:hAnsi="Times New Roman" w:eastAsia="Times New Roman" w:cs="Times New Roman"/>
          <w:b/>
          <w:bCs/>
          <w:caps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b/>
          <w:bCs/>
          <w:caps/>
          <w:sz w:val="32"/>
          <w:szCs w:val="32"/>
          <w:highlight w:val="none"/>
        </w:rPr>
      </w:r>
    </w:p>
    <w:p>
      <w:pPr>
        <w:contextualSpacing w:val="0"/>
        <w:jc w:val="center"/>
        <w:spacing w:before="0" w:after="0" w:line="240" w:lineRule="auto"/>
        <w:rPr>
          <w:rFonts w:ascii="Times New Roman" w:hAnsi="Times New Roman" w:cs="Times New Roman"/>
          <w:b/>
          <w:bCs/>
          <w:caps/>
          <w:sz w:val="32"/>
          <w:szCs w:val="32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aps/>
          <w:sz w:val="32"/>
          <w:szCs w:val="32"/>
        </w:rPr>
        <w:t xml:space="preserve">города Перми ЗА</w:t>
      </w:r>
      <w:r>
        <w:rPr>
          <w:rFonts w:ascii="Times New Roman" w:hAnsi="Times New Roman" w:eastAsia="Times New Roman" w:cs="Times New Roman"/>
          <w:b/>
          <w:caps/>
          <w:sz w:val="32"/>
          <w:szCs w:val="32"/>
        </w:rPr>
        <w:t xml:space="preserve"> 2025 год</w:t>
      </w:r>
      <w:r>
        <w:rPr>
          <w:rFonts w:ascii="Times New Roman" w:hAnsi="Times New Roman" w:cs="Times New Roman"/>
          <w:b/>
          <w:bCs/>
          <w:caps/>
          <w:sz w:val="32"/>
          <w:szCs w:val="32"/>
          <w:highlight w:val="none"/>
        </w:rPr>
      </w:r>
      <w:r>
        <w:rPr>
          <w:rFonts w:ascii="Times New Roman" w:hAnsi="Times New Roman" w:cs="Times New Roman"/>
          <w:b/>
          <w:bCs/>
          <w:caps/>
          <w:sz w:val="32"/>
          <w:szCs w:val="32"/>
          <w:highlight w:val="none"/>
        </w:rPr>
      </w:r>
    </w:p>
    <w:p>
      <w:pPr>
        <w:contextualSpacing w:val="0"/>
        <w:jc w:val="center"/>
        <w:spacing w:before="0"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cap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aps/>
          <w:sz w:val="28"/>
          <w:szCs w:val="28"/>
        </w:rPr>
      </w:r>
      <w:r>
        <w:rPr>
          <w:rFonts w:ascii="Times New Roman" w:hAnsi="Times New Roman" w:cs="Times New Roman"/>
          <w:b/>
          <w:bCs/>
          <w:caps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 w:eastAsia="Times New Roman" w:cs="Times New Roman"/>
          <w:b/>
          <w:bCs/>
          <w:caps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b/>
          <w:caps/>
          <w:sz w:val="32"/>
          <w:szCs w:val="32"/>
        </w:rPr>
        <w:t xml:space="preserve">пояснительная записка</w:t>
      </w:r>
      <w:r>
        <w:rPr>
          <w:rFonts w:ascii="Times New Roman" w:hAnsi="Times New Roman" w:eastAsia="Times New Roman" w:cs="Times New Roman"/>
          <w:b/>
          <w:bCs/>
          <w:caps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b/>
          <w:bCs/>
          <w:caps/>
          <w:sz w:val="32"/>
          <w:szCs w:val="32"/>
          <w:highlight w:val="none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Исполнение бюджета города Перми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 2025 год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оперативным данным характеризуется следующими показателями: </w:t>
      </w:r>
      <w:r>
        <w:rPr>
          <w:rFonts w:ascii="Times New Roman" w:hAnsi="Times New Roman" w:eastAsia="Times New Roman" w:cs="Times New Roman"/>
          <w:sz w:val="16"/>
          <w:szCs w:val="16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ab/>
        <w:t xml:space="preserve">по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доходам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eastAsia="Times New Roman" w:cs="Times New Roman"/>
          <w:b/>
          <w:bCs/>
          <w:strike w:val="0"/>
          <w:color w:val="000000" w:themeColor="text1"/>
          <w:sz w:val="28"/>
          <w:szCs w:val="28"/>
          <w:highlight w:val="white"/>
        </w:rPr>
        <w:t xml:space="preserve">61 477 837,1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тыс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руб.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eastAsia="Times New Roman" w:cs="Times New Roman"/>
          <w:b/>
          <w:bCs/>
          <w:strike w:val="0"/>
          <w:color w:val="000000" w:themeColor="text1"/>
          <w:sz w:val="28"/>
          <w:szCs w:val="28"/>
          <w:highlight w:val="white"/>
        </w:rPr>
        <w:t xml:space="preserve">103,1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%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white"/>
        </w:rPr>
        <w:t xml:space="preserve">к утвержденному плану 2025 года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white"/>
        </w:rPr>
        <w:t xml:space="preserve">(59 614 400,0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white"/>
        </w:rPr>
        <w:t xml:space="preserve"> тыс. руб.)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Поступления доходов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 2024 год составляли                    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white"/>
        </w:rPr>
        <w:t xml:space="preserve">57 803 119,3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тыс. руб.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8"/>
        <w:jc w:val="both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Анали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 пос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тупления доходо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бюджета за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2024 и 2025 годы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приведен                             в следующей таблице: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spacing w:after="0" w:afterAutospacing="0" w:line="240" w:lineRule="auto"/>
        <w:tabs>
          <w:tab w:val="left" w:pos="-180" w:leader="none"/>
        </w:tabs>
        <w:rPr>
          <w:rFonts w:ascii="Times New Roman" w:hAnsi="Times New Roman" w:cs="Times New Roman"/>
          <w:strike w:val="0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000000" w:themeColor="text1"/>
          <w:sz w:val="22"/>
          <w:szCs w:val="22"/>
          <w:highlight w:val="white"/>
        </w:rPr>
        <w:t xml:space="preserve">(тыс.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2"/>
          <w:szCs w:val="22"/>
          <w:highlight w:val="white"/>
          <w:lang w:val="en-US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2"/>
          <w:szCs w:val="22"/>
          <w:highlight w:val="white"/>
        </w:rPr>
        <w:t xml:space="preserve">руб.)</w:t>
      </w:r>
      <w:r>
        <w:rPr>
          <w:rFonts w:ascii="Times New Roman" w:hAnsi="Times New Roman" w:cs="Times New Roman"/>
          <w:strike w:val="0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strike w:val="0"/>
          <w:color w:val="000000" w:themeColor="text1"/>
          <w:sz w:val="22"/>
          <w:szCs w:val="22"/>
          <w:highlight w:val="none"/>
        </w:rPr>
      </w:r>
    </w:p>
    <w:tbl>
      <w:tblPr>
        <w:tblW w:w="10248" w:type="dxa"/>
        <w:jc w:val="center"/>
        <w:tblInd w:w="6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30"/>
        <w:gridCol w:w="1559"/>
        <w:gridCol w:w="1559"/>
        <w:gridCol w:w="1481"/>
        <w:gridCol w:w="1319"/>
      </w:tblGrid>
      <w:tr>
        <w:tblPrEx/>
        <w:trPr>
          <w:jc w:val="center"/>
          <w:trHeight w:val="1021"/>
        </w:trPr>
        <w:tc>
          <w:tcPr>
            <w:tcBorders>
              <w:bottom w:val="single" w:color="000000" w:sz="4" w:space="0"/>
            </w:tcBorders>
            <w:tcW w:w="4330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40" w:lineRule="atLeast"/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2"/>
              </w:rPr>
              <w:t xml:space="preserve">Факт на 01.01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</w:rPr>
              <w:t xml:space="preserve">.2025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40" w:lineRule="atLeast"/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2"/>
              </w:rPr>
              <w:t xml:space="preserve">Факт на 01.01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</w:rPr>
              <w:t xml:space="preserve">.2026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тклонение поступлений 2025 года от 2024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319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Отношение поступлений 2025 года к 2024 году, 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656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30" w:type="dxa"/>
            <w:vAlign w:val="center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en-US"/>
              </w:rPr>
              <w:t xml:space="preserve">Налоговые и неналоговые доходы,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31 406 540,7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34 574 960,7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3 168 420,0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9" w:type="dxa"/>
            <w:vAlign w:val="center"/>
            <w:textDirection w:val="lrTb"/>
            <w:noWrap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110,1%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41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30" w:type="dxa"/>
            <w:vAlign w:val="center"/>
            <w:textDirection w:val="lrTb"/>
            <w:noWrap w:val="false"/>
          </w:tcPr>
          <w:p>
            <w:pPr>
              <w:contextualSpacing w:val="0"/>
              <w:ind w:firstLine="176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en-US"/>
              </w:rPr>
              <w:t xml:space="preserve">налоговые доходы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23 514 452,8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26 592 034,0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3 077 581,2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9" w:type="dxa"/>
            <w:vAlign w:val="center"/>
            <w:textDirection w:val="lrTb"/>
            <w:noWrap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113,1%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41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30" w:type="dxa"/>
            <w:vAlign w:val="center"/>
            <w:textDirection w:val="lrTb"/>
            <w:noWrap w:val="false"/>
          </w:tcPr>
          <w:p>
            <w:pPr>
              <w:contextualSpacing w:val="0"/>
              <w:ind w:firstLine="176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7 892 087,9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7 982 926,7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90 838,8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9" w:type="dxa"/>
            <w:vAlign w:val="center"/>
            <w:textDirection w:val="lrTb"/>
            <w:noWrap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101,2%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699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30" w:type="dxa"/>
            <w:vAlign w:val="center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26 396 578,6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26 902 876,4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506 297,8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9" w:type="dxa"/>
            <w:vAlign w:val="center"/>
            <w:textDirection w:val="lrTb"/>
            <w:noWrap/>
          </w:tcPr>
          <w:p>
            <w:pPr>
              <w:contextualSpacing w:val="0"/>
              <w:jc w:val="center"/>
              <w:spacing w:before="0" w:after="0"/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101,9%</w:t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41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30" w:type="dxa"/>
            <w:vAlign w:val="bottom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Всего доходов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contextualSpacing w:val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  <w:t xml:space="preserve">57 803 119,3</w:t>
            </w:r>
            <w:r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contextualSpacing w:val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  <w:t xml:space="preserve">61 477 837,1</w:t>
            </w:r>
            <w:r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bottom"/>
            <w:textDirection w:val="lrTb"/>
            <w:noWrap/>
          </w:tcPr>
          <w:p>
            <w:pPr>
              <w:contextualSpacing w:val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  <w:t xml:space="preserve">3 674 717,8</w:t>
            </w:r>
            <w:r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9" w:type="dxa"/>
            <w:vAlign w:val="bottom"/>
            <w:textDirection w:val="lrTb"/>
            <w:noWrap/>
          </w:tcPr>
          <w:p>
            <w:pPr>
              <w:contextualSpacing w:val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  <w:t xml:space="preserve">106,4%</w:t>
            </w:r>
            <w:r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7030a0" w:themeColor="text1"/>
                <w:sz w:val="24"/>
                <w:szCs w:val="24"/>
              </w:rPr>
            </w:r>
          </w:p>
        </w:tc>
      </w:tr>
    </w:tbl>
    <w:p>
      <w:pPr>
        <w:contextualSpacing w:val="0"/>
        <w:ind w:firstLine="709"/>
        <w:jc w:val="both"/>
        <w:spacing w:after="0" w:afterAutospacing="0" w:line="240" w:lineRule="auto"/>
        <w:tabs>
          <w:tab w:val="left" w:pos="-180" w:leader="none"/>
        </w:tabs>
        <w:rPr>
          <w:rFonts w:ascii="Times New Roman" w:hAnsi="Times New Roman" w:cs="Times New Roman"/>
          <w:strike w:val="0"/>
          <w:color w:val="000000" w:themeColor="text1"/>
          <w:sz w:val="22"/>
          <w:szCs w:val="22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strike w:val="0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strike w:val="0"/>
          <w:color w:val="000000" w:themeColor="text1"/>
          <w:sz w:val="22"/>
          <w:szCs w:val="22"/>
          <w:highlight w:val="white"/>
        </w:rPr>
      </w:r>
      <w:r>
        <w:rPr>
          <w:rFonts w:ascii="Times New Roman" w:hAnsi="Times New Roman" w:cs="Times New Roman"/>
          <w:strike w:val="0"/>
          <w:color w:val="000000" w:themeColor="text1"/>
          <w:sz w:val="22"/>
          <w:szCs w:val="22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связи с изменениями с 2025 года норматива зачисления налога на доходы физических лиц, в настоящем анализе объем доходов бюджета 2024 года приведен              в сопоставимые условия (норматив по НДФЛ – 30,0 %).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tLeast"/>
        <w:rPr>
          <w:rFonts w:ascii="Times New Roman" w:hAnsi="Times New Roman" w:cs="Times New Roman"/>
          <w:color w:val="000000" w:themeColor="text1"/>
          <w:sz w:val="28"/>
          <w:szCs w:val="28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tLeast"/>
        <w:tabs>
          <w:tab w:val="left" w:pos="7938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по расходам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-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сумме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65 125 821,6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тыс. руб., или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94,4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%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от ассигнований 2025 года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68 968 618,3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тыс. руб.).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ассовый расход за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2024 год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составлял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56 735 541,0          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тыс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руб., или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95,1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годовых ассигнований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tLeast"/>
        <w:tabs>
          <w:tab w:val="left" w:pos="7938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left"/>
        <w:spacing w:before="0" w:after="0" w:line="240" w:lineRule="auto"/>
        <w:rPr>
          <w:rFonts w:ascii="Times New Roman" w:hAnsi="Times New Roman" w:cs="Times New Roman"/>
          <w:b/>
          <w:sz w:val="12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Кассовые выплаты по расходам за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2025 год превысили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поступления по доходам на сумму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3 647 984,5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12"/>
          <w:szCs w:val="28"/>
        </w:rPr>
      </w:r>
      <w:r>
        <w:rPr>
          <w:rFonts w:ascii="Times New Roman" w:hAnsi="Times New Roman" w:cs="Times New Roman"/>
          <w:b/>
          <w:sz w:val="12"/>
          <w:szCs w:val="28"/>
        </w:rPr>
      </w:r>
    </w:p>
    <w:p>
      <w:pPr>
        <w:contextualSpacing w:val="0"/>
        <w:ind w:firstLine="0"/>
        <w:jc w:val="left"/>
        <w:spacing w:line="240" w:lineRule="auto"/>
        <w:tabs>
          <w:tab w:val="left" w:pos="-180" w:leader="none"/>
        </w:tabs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yellow"/>
        </w:rPr>
        <w:suppressLineNumbers w:val="0"/>
      </w:pPr>
      <w:r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yellow"/>
        </w:rPr>
      </w:r>
    </w:p>
    <w:p>
      <w:pPr>
        <w:pStyle w:val="938"/>
        <w:numPr>
          <w:ilvl w:val="0"/>
          <w:numId w:val="53"/>
        </w:numPr>
        <w:contextualSpacing w:val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caps/>
          <w:strike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caps/>
          <w:strike w:val="0"/>
          <w:color w:val="000000" w:themeColor="text1"/>
          <w:sz w:val="28"/>
          <w:szCs w:val="28"/>
          <w:highlight w:val="white"/>
        </w:rPr>
        <w:t xml:space="preserve">ИСПОЛНЕНИЕ БЮД</w:t>
      </w:r>
      <w:r>
        <w:rPr>
          <w:rFonts w:ascii="Times New Roman" w:hAnsi="Times New Roman" w:eastAsia="Times New Roman" w:cs="Times New Roman"/>
          <w:b/>
          <w:caps/>
          <w:strike w:val="0"/>
          <w:color w:val="000000" w:themeColor="text1"/>
          <w:sz w:val="28"/>
          <w:szCs w:val="28"/>
          <w:highlight w:val="white"/>
        </w:rPr>
        <w:t xml:space="preserve">ЖЕТА ПО ДОХОДАМ</w:t>
      </w:r>
      <w:r>
        <w:rPr>
          <w:rFonts w:ascii="Times New Roman" w:hAnsi="Times New Roman" w:eastAsia="Times New Roman" w:cs="Times New Roman"/>
          <w:b/>
          <w:bCs/>
          <w:caps/>
          <w:strike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aps/>
          <w:strike w:val="0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/>
          <w:bCs/>
          <w:caps/>
          <w:strike w:val="0"/>
          <w:color w:val="000000" w:themeColor="text1"/>
          <w:sz w:val="26"/>
          <w:szCs w:val="26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(приложение 1 к пояснительной записке)</w:t>
      </w:r>
      <w:r>
        <w:rPr>
          <w:rFonts w:ascii="Times New Roman" w:hAnsi="Times New Roman" w:cs="Times New Roman"/>
          <w:b/>
          <w:bCs/>
          <w:caps/>
          <w:strike w:val="0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caps/>
          <w:strike w:val="0"/>
          <w:color w:val="000000" w:themeColor="text1"/>
          <w:sz w:val="26"/>
          <w:szCs w:val="26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Нал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оговые доходы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поступили в бюджет города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сумме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26 592 034,0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тыс.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руб.,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или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94,8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 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к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white"/>
        </w:rPr>
        <w:t xml:space="preserve">утвержденному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плану 2025 года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28 065 221,0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тыс. руб.)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За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2024 год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поступления налоговых доходов составляли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23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514 452,8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Неналоговые доходы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поступили в бюджет города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мме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7 982 926,7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тыс. руб.,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или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102,0 %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к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white"/>
        </w:rPr>
        <w:t xml:space="preserve">утвержденному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плану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2025 года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7 828 489,0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руб.). За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2024 год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поступления неналоговых доходов составляли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7 892 087,9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</w:tabs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line="240" w:lineRule="auto"/>
        <w:tabs>
          <w:tab w:val="left" w:pos="0" w:leader="none"/>
          <w:tab w:val="left" w:pos="709" w:leader="none"/>
        </w:tabs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Безвозмездные поступления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от бюджетов других уровней поступили в сумме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26 902 876,4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ыс. руб. или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113,4 %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white"/>
        </w:rPr>
        <w:t xml:space="preserve">утвержденному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плану 2025 года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23 720 690,0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       тыс. 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уб.).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2024 год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поступления составляли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26 396 578,6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тыс. руб. </w:t>
      </w:r>
      <w:r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line="240" w:lineRule="auto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Анализ исполнения плана по доходам за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2025 год по осно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вным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бюджето-образующим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поступлениям выглядит следующим образом: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 состоянию на 01.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01.2026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фактическое поступление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налога на доходы физических лиц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составило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19 551 219,0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или 91,0 % 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плану года </w:t>
        <w:br/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21 478 83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2,2 тыс. руб.).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Относительно 2024 года поступления составили 109,4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Непол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ное исполнени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плана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обусловлено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снижением темпа роста фонда заработной платы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при плане 119,7 % фактический темп роста сложился в размере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109,4 %)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непоступлением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налога на доходы физических лиц с дивидендов от крупного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плательщика,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также увеличением суммы возвратов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в связи с предоставлением налоговых вычетов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 2025 год 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24,0 %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относительно прошлого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года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(сум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ма возвратов составила 1 594 197,9 тыс. руб).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suppressLineNumbers w:val="0"/>
      </w:pP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туристическому налогу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кое поступление составило 30 778,4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                тыс. руб., или 58,1 %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плану года (52 994,3 тыс. руб.)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План поступлений налога был сформирован по данным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статистической отчетности «Сведения о деятельности коллективного средства размещения» о числе дней временного проживания в средствах размещения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 минимальной ставки налога.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соответствии со статьей 418.4 НК РФ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налоговой базой является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стоимость услуги проживания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информация о которой на дату формирования прогноза отсутствовала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850"/>
        <w:jc w:val="both"/>
        <w:spacing w:before="0" w:after="0" w:line="240" w:lineRule="auto"/>
        <w:tabs>
          <w:tab w:val="left" w:pos="850" w:leader="none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налогу, взимаемому в связи с применением упрощенной системы налогообложения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кое поступление составило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1 216 032,7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                           или 96,6 % к плану года (1 259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409,1 тыс. руб.).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Относительно 2024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года поступления составили 106,3 %.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налогу, взимаемому в связи с применением патентной системы налогообложения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фактическое поступление составило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526 084,4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                              или  85,4 % к пл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ану года (615 839,4 тыс. руб.).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Относительно 2024 года поступления составили 164,8 %.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Неисполнение плана обусловлено ростом количества налогоплательщиков, воспользовавшихся правом уменьшения налога на сумму уплаченных страховых взносов.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14:ligatures w14:val="none"/>
        </w:rPr>
      </w:r>
    </w:p>
    <w:p>
      <w:pPr>
        <w:pStyle w:val="934"/>
        <w:contextualSpacing w:val="0"/>
        <w:ind w:firstLine="709"/>
        <w:jc w:val="both"/>
        <w:spacing w:before="0" w:after="0" w:line="240" w:lineRule="auto"/>
        <w:widowControl w:val="off"/>
        <w:rPr>
          <w:rFonts w:ascii="Times New Roman" w:hAnsi="Times New Roman" w:cs="Times New Roman"/>
          <w:iCs/>
          <w:color w:val="000000" w:themeColor="text1"/>
          <w:sz w:val="24"/>
          <w:szCs w:val="24"/>
          <w:highlight w:val="yellow"/>
        </w:rPr>
        <w:suppressLineNumbers w:val="0"/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highlight w:val="yellow"/>
        </w:rPr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highlight w:val="yellow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о </w:t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  <w:highlight w:val="white"/>
        </w:rPr>
        <w:t xml:space="preserve">налогу на имущество физических лиц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</w:rPr>
        <w:t xml:space="preserve">поступление составило </w:t>
        <w:br/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1 847 720,6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что составляет 124,3 % к плану года (1 486 170,1 тыс. руб.).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  <w:suppressLineNumbers w:val="0"/>
      </w:pP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Относительно 2024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года поступления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составили 134,4 %.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Перевыполнение годового п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ланового задания 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бусловлено ростом налогооблагаемой базы, произошедшим в связи с проведенной переоценкой размера кадастровой стоимости объектов недвижимого имуществ, утвержденной приказом министерства по управлению имуществом и градостроительной деятельности Пермского края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от 05.10.2023 № 31-02-1-4-1887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0"/>
          <w:szCs w:val="20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0"/>
          <w:szCs w:val="20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  <w:highlight w:val="white"/>
        </w:rPr>
        <w:t xml:space="preserve"> земельному налогу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фактическое поступление со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ставило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2 653 114,6 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тыс. руб., что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</w:rPr>
        <w:t xml:space="preserve">составляет 108,7 % к плану года (2 439 929,8 тыс. руб.)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перевы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полнение плана отчетного периода повлияло увеличение ставки земельного налога с 01.01.2025 года с 0,3 % до 1,5 % в отношении земельных участков,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занятых жилищным фондом и (или) объектами инженерной инфраструктуры жилищно-коммунального комплекса,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кадастровая стоимость которых превышает 300,0 млн. руб.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  <w:suppressLineNumbers w:val="0"/>
      </w:pP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Относительно 2024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года поступления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составили 112,8 %.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  <w:suppressLineNumbers w:val="0"/>
      </w:pP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Доходы, полу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участков,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админист-рируемые департаментом земельных отношений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562 946,2                           тыс. руб.,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что на 43,1 % больше плана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(3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3 350,3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б.)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Относительно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2024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года поступления по данному виду дохода увеличились                    на 56,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% (на 202 433,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 счет поступления средств от продажи права                  на заключение договоров аренды земельных участков на торгах.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szCs w:val="28"/>
          <w:highlight w:val="white"/>
          <w:u w:val="none"/>
          <w:vertAlign w:val="baseline"/>
        </w:rPr>
        <w:t xml:space="preserve">275 275,8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 тыс. руб., что составляет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93,9 %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</w:rPr>
        <w:t xml:space="preserve">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плану года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293 156,2 тыс. руб.)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Относительно прошлого года поступления по данному виду дохода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меньшились                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 2 271,2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течение года осуществлены возвраты денежных средств                    на сумму 10 405,0 тыс. руб.;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реализации права на заключение договоров аренды земельных участков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szCs w:val="28"/>
          <w:highlight w:val="white"/>
          <w:u w:val="none"/>
          <w:vertAlign w:val="baseline"/>
        </w:rPr>
        <w:t xml:space="preserve">287 670,4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руб.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что в 2,9 раза больше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лана года                 (100 194,1 тыс. руб.)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Право 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заключение договоров аренды земельных участков, предназначенных для ИЖС, реализуется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 превышением начальной цены реализации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перевыполнение плана также в значительной степени повлияло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поступление денежных средств по итогам аукци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на, на котором б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ыло реализовано право                               на заключение договоров аренды земельных участков для строительства объектов производственного и складского назначения, состоявшегося 26 декабря 2024 года,                      в сумме 29 201,2 тыс. руб.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suppressLineNumbers w:val="0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Доходы, получаемые в виде арендной платы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за земли, находящиеся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br/>
        <w:t xml:space="preserve">в собственности городских округов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 а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 также средства от продажи права                              на заключение договоров аренды указанных земельных участков,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земельных отношений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98 969,6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что составляет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58,4 % к плану года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(169 383,1 тыс. руб.).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том чи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сле: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szCs w:val="28"/>
          <w:highlight w:val="white"/>
          <w:u w:val="none"/>
          <w:vertAlign w:val="baseline"/>
        </w:rPr>
        <w:t xml:space="preserve">85 592,7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что в 1,6 раза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больше плана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года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szCs w:val="28"/>
          <w:highlight w:val="white"/>
          <w:u w:val="none"/>
          <w:vertAlign w:val="baseline"/>
        </w:rPr>
        <w:t xml:space="preserve">53 573,9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руб.)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Относительно  прошлого года поступления по данному виду дох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увеличились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42 458,4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еревыполнение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плана отчетного период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обусловлено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заключением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новых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говоров аренды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средства от продажи права на заключение договоров аренды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земельных участков, находящихся в муниципальной собственности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поступили в сумме 13 376,9 тыс. руб., что на 88,4 % меньше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плана года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(115 809,2 тыс.руб.).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Неисполнение плана обусловлено выбытием из арендного фонда земельного уч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астка, распо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ложенного по адресу: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ул. Магистральная, 86б, предоставленного под строительство жилого комплекса. В июле 2025 года осуществлена государственная регистрация общедолевой собственности на объекты недвижимости, расположенные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многоквартирном доме.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Кроме того, запланированная в 2025 году реализация                         на аукционе права аренды земельного участка по ул. Зюкайская, 5 - Газонная, 21 перенесена на 2026 год.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567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outlineLvl w:val="0"/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         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Доходы от сдачи в аренду муниципального имущества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81 130,2 тыс. руб., что составляет 100,2 % к плану года (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80 987,0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ыс. руб.).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Относительно 2024 го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да поступления по данному виду дохода составили 101,2 %.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yellow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yellow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yellow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рочие доходы от использования имущества и прав, находящихся государственной и муниципаль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ной собствен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ности (за исключением имущества бюджетных и автономных учреждений, а также имущества государственных              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и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муниципальных унитарных предприятий, в том числе ка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зенных)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поступили                   в сумме 228 984,6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что составляет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123,2 % к плану года (185 836,2 тыс. руб.).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доходы по дого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ворам на размещение рекламных конструкций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u w:val="none"/>
        </w:rPr>
        <w:t xml:space="preserve">а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8"/>
          <w:highlight w:val="white"/>
          <w:u w:val="none"/>
        </w:rPr>
        <w:t xml:space="preserve">дминист-рируемые департаментом экономики и промышленной политики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8"/>
          <w:highlight w:val="white"/>
          <w:u w:val="none"/>
        </w:rPr>
        <w:t xml:space="preserve">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u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поступили в сумме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141 068,1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или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134,7 % к плану года (104 746,7 тыс. руб.).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Перевыполнение плана обусловлено, в основном,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поступлениями по итогам состоявшихся торгов.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 аукцион в электронной форме на право заключения договора на размещение рекламных конструкций в отчетном периоде было выставлено 10 лотов на общую сумму начальной платы 1 273,7 тыс. руб., реализовано 6 лотов на сумму 34 782,9                     тыс. руб.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доходы по договорам на размещение нестационарных объектов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highlight w:val="white"/>
        </w:rPr>
        <w:t xml:space="preserve">админист-рируемые департаментом экономики и промышленной политики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поступили в сумм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14 907,2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или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134,9 % к плану года (11 046,9 тыс. руб.).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поступлением авансовых платежей, а также задолженности                             по договорам на размещение нестационарных торговых объектов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лата за фактическое пользование земельными участка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находящимися в муниципальной собственности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поступила в сумме 3 818,5 тыс. руб.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, что составляет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126,6 % от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годового плана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(3 014,8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тыс. руб.).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br/>
        <w:t xml:space="preserve">64 315,6 тыс. руб., что в 1,3 раза превышает план года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086,0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руб.).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том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числе: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плата за негативное воздействие на окружающую среду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highlight w:val="white"/>
        </w:rPr>
        <w:t xml:space="preserve">администрируемая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highlight w:val="white"/>
        </w:rPr>
        <w:t xml:space="preserve">Росприроднадзора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поступила            в сумме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60 544,4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что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1,3 раза превышает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план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47 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99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7,3 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ыс. руб.)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Перевыполнение плана обусловлено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перечислен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иями крупнейших плательщиков                   по представленным декларациям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 2024 год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 сброс загрязняющих веществ                            с применением сверхлимитного повышающего коэффициента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  <w:outlineLvl w:val="0"/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плата за использование лесов,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highlight w:val="white"/>
        </w:rPr>
        <w:t xml:space="preserve">администрируемая управлением по экологии      и природопользованию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поступила в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умме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771,2 тыс. руб.,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что в 1,2 раза превышает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план года (3 088,7 тыс. руб.).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Перевыполнение плана обусловлено заключением новых договоров аренды лесных участков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До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х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ды от оказания платных услуг (работ) и компенсации затрат государства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поступили в сумме 5 445 845,5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тыс. руб., что составляет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96,4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% к плану 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5 651 966,4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тыс.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руб.).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средства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white"/>
        </w:rPr>
        <w:t xml:space="preserve">т реализации проездных документов отдельным категориям граждан города Перми,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635 408,5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или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97,2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% к плану года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653 882,1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white"/>
        </w:rPr>
        <w:t xml:space="preserve"> средства от реализации единых проездных документов,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469 350,7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или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110,9 %                к плану года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423 200,8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перечисления платы за проезд пассажиров и провоз багажа,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4 206 708,3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            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тыс. руб., или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93,2 % к плану года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4 515 290,6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0" w:leader="none"/>
          <w:tab w:val="left" w:pos="709" w:leader="none"/>
          <w:tab w:val="left" w:pos="90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целом по доходам от платы за проезд выполнение составило 95,0 % от плана года.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Доходы от продажи земельных участков, находящихся в государственной и муниципальной собственности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поступили в сумме 230 998,4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                              что составляет 113,9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% к плану года (202 788,7 тыс. руб.).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том числе: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highlight w:val="white"/>
        </w:rPr>
        <w:t xml:space="preserve">Доходы от продажи земельных </w:t>
      </w:r>
      <w:r>
        <w:rPr>
          <w:rFonts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highlight w:val="white"/>
        </w:rPr>
        <w:t xml:space="preserve">участков, государственная собственность на которые не разграничена</w:t>
      </w:r>
      <w:r>
        <w:rPr>
          <w:rFonts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szCs w:val="28"/>
          <w:highlight w:val="white"/>
          <w:u w:val="none"/>
          <w:vertAlign w:val="baseline"/>
        </w:rPr>
        <w:t xml:space="preserve">212 292,0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что составляет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104,7 % к плану года (202 788,7 тыс. руб.).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 сравнению с прошлым годом поступления уменьшились на 21 317,6 тыс. руб.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оступление средств от продажи земельных участков носит заявительный характер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Кроме того,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бюджет города Перми поступило 18 706,5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 незаплани-рованных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доходов от продажи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земельных участков, находящихся в собственности городских округов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cyan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cyan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cyan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Плата за увеличение площади земе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льных участков, находящихся в частной собственности, в результате перераспределения таких земельных участков                     и земель (или) земельных участков, находящихся в государственной                                или муниципальной собственности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поступила в сумме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98 168,8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тыс. руб.,                                что составляет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101,3 % к плану года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(96 901,9 тыс. руб.).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 том числе: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highlight w:val="white"/>
        </w:rPr>
        <w:t xml:space="preserve">Доходы </w:t>
      </w:r>
      <w:r>
        <w:rPr>
          <w:rFonts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highlight w:val="white"/>
        </w:rPr>
        <w:t xml:space="preserve">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</w:t>
      </w:r>
      <w:r>
        <w:rPr>
          <w:rFonts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highlight w:val="white"/>
        </w:rPr>
        <w:t xml:space="preserve">собственность                    на которые не разграничена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поступили в размере 84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szCs w:val="28"/>
          <w:highlight w:val="white"/>
          <w:u w:val="none"/>
          <w:vertAlign w:val="baseline"/>
        </w:rPr>
        <w:t xml:space="preserve"> 420,3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что составляет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87,1 % к плану года (96 901,9 тыс.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руб.).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 сравнению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 прошлым годом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поступления уменьшились             на 56 122,5 тыс. руб.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Кроме того, при отсутствии планового задания в бюджет города Перми поступило 13 748,5 тыс. руб.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платы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за увеличение площади земельных участков, находящихся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частной собственности, в результате перераспределения земельных участков, находящихся в собственности городского округа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площадью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1633,57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кв.м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outlineLvl w:val="0"/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Доходы от приватизации имуществ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а,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находящегос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я в собственности городских округов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поступили в размере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93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830,3 тыс. руб., что в 1,1 раза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превышает  план года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(84 753,8 тыс. руб.)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Относительно 2024 года поступления по данному виду дохода составили 29,4 %.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результате реализации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муниципального имущества на торгах в порядке,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установленном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Федеральным законом от 21.12.2001 № 178-ФЗ «О приватизации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государственного и муниципального имущества»,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поступили доходы в сумме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br/>
        <w:t xml:space="preserve">59 048,6 тыс. руб., что в 1,3 раза превышает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план года (45 675,1 тыс. руб.).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Перевыполнение плана обусловлено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реализацией долей в праве на земельные участки по цене выше запланированной.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доходы поступили в сумме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781,7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тыс. руб.,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что составляет 90,1 %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к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плану года (38 597,7 тыс. руб.).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Невыполнение плана обусловлено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снижением площади арендуемого имущества, планируемого к реализации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 по поступившим заявкам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рочие неналоговые доходы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оступили в сумме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237 715,0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тыс. руб.,                                что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составляет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153,7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%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 плану года (154 615,6 тыс. руб.)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rFonts w:ascii="Times New Roman" w:hAnsi="Times New Roman" w:cs="Times New Roman"/>
          <w:color w:val="000000" w:themeColor="text1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white"/>
        </w:rPr>
        <w:t xml:space="preserve">восстановител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none"/>
        </w:rPr>
        <w:t xml:space="preserve">ьная стоимость зеленых насаждений,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none"/>
        </w:rPr>
        <w:t xml:space="preserve"> администрируемая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none"/>
        </w:rPr>
        <w:t xml:space="preserve">управлением по экологии и природопользовани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none"/>
        </w:rPr>
        <w:t xml:space="preserve">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поступила в сумме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130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988,5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                             тыс. руб.,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что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2,6 раза превышает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план года (50 550,3 тыс. руб.)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поступлениями от крупных предприятий в сфере строительства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лата за фактическое пользование земельными участка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                                       до раз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граничения государственной собственности на землю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поступила в сумме </w:t>
        <w:br/>
        <w:t xml:space="preserve">67 134,2 тыс. руб.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, что составляет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102,6 % от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годового плана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(65 450,3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тыс. руб.).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highlight w:val="white"/>
        </w:rPr>
        <w:suppressLineNumbers w:val="0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left="0" w:firstLine="0"/>
        <w:jc w:val="center"/>
        <w:spacing w:before="0" w:after="0" w:line="240" w:lineRule="atLeast"/>
        <w:rPr>
          <w:rFonts w:ascii="Times New Roman" w:hAnsi="Times New Roman" w:cs="Times New Roman"/>
          <w:b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   2.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ИСПОЛНЕНИЕ БЮДЖЕТА ПО РАСХОДАМ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contextualSpacing w:val="0"/>
        <w:ind w:firstLine="360"/>
        <w:jc w:val="center"/>
        <w:spacing w:before="0" w:after="0" w:line="240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приложение 2 к настоящей записке)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ind w:firstLine="360"/>
        <w:jc w:val="center"/>
        <w:spacing w:before="0" w:after="0" w:line="240" w:lineRule="atLeast"/>
        <w:rPr>
          <w:rFonts w:ascii="Times New Roman" w:hAnsi="Times New Roman" w:cs="Times New Roman"/>
          <w:sz w:val="24"/>
          <w:szCs w:val="24"/>
          <w:highlight w:val="whit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 w:val="0"/>
        <w:jc w:val="both"/>
        <w:spacing w:before="0" w:after="0" w:line="240" w:lineRule="auto"/>
        <w:tabs>
          <w:tab w:val="left" w:pos="7938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Кассов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ый расход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бюджета (без учёта зарезервированных средств: на исполнение судебных исков, резервного фонда администрации города)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за 2025 год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составил                   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 xml:space="preserve">65 125 738,5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тыс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руб., или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 xml:space="preserve">94,4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%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годовых ассигнований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68 967 144,1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тыс. руб.).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Исполнение по расходам за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2024 год составляло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56 735 435,7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тыс. р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уб.,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или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95,2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%        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годовых ассигнований.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40" w:lineRule="auto"/>
        <w:tabs>
          <w:tab w:val="left" w:pos="7938" w:leader="none"/>
        </w:tabs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</w:rPr>
      </w:r>
    </w:p>
    <w:p>
      <w:pPr>
        <w:contextualSpacing w:val="0"/>
        <w:jc w:val="both"/>
        <w:spacing w:before="0" w:after="0" w:line="240" w:lineRule="auto"/>
        <w:tabs>
          <w:tab w:val="left" w:pos="7938" w:leader="none"/>
        </w:tabs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Расходная часть бюджета за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2025 год в разрезе источников финансирования исполнена следующим образом.</w:t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40" w:lineRule="auto"/>
        <w:tabs>
          <w:tab w:val="left" w:pos="7938" w:leader="none"/>
        </w:tabs>
        <w:rPr>
          <w:rFonts w:ascii="Times New Roman" w:hAnsi="Times New Roman" w:cs="Times New Roman"/>
          <w:color w:val="1e4f79" w:themeColor="accent1" w:themeShade="80"/>
          <w:sz w:val="16"/>
          <w:szCs w:val="16"/>
        </w:rPr>
        <w:suppressLineNumbers w:val="0"/>
      </w:pPr>
      <w:r>
        <w:rPr>
          <w:rFonts w:ascii="Times New Roman" w:hAnsi="Times New Roman" w:cs="Times New Roman"/>
          <w:color w:val="auto" w:themeColor="accent1" w:themeShade="80"/>
          <w:sz w:val="16"/>
          <w:szCs w:val="16"/>
          <w:highlight w:val="none"/>
        </w:rPr>
      </w:r>
      <w:r>
        <w:rPr>
          <w:rFonts w:ascii="Times New Roman" w:hAnsi="Times New Roman" w:cs="Times New Roman"/>
          <w:color w:val="1e4f79" w:themeColor="accent1" w:themeShade="80"/>
          <w:sz w:val="16"/>
          <w:szCs w:val="16"/>
        </w:rPr>
      </w:r>
      <w:r>
        <w:rPr>
          <w:rFonts w:ascii="Times New Roman" w:hAnsi="Times New Roman" w:cs="Times New Roman"/>
          <w:color w:val="1e4f79" w:themeColor="accent1" w:themeShade="80"/>
          <w:sz w:val="16"/>
          <w:szCs w:val="16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b/>
          <w:bCs/>
          <w:color w:val="auto" w:themeColor="accent1" w:themeShade="80"/>
          <w:sz w:val="20"/>
          <w:szCs w:val="20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2.1. за счет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средств местного бюджета на выполнение собственных полномочий (без уч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ёта зарезервированных средств)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кассовое исполнение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составляет</w:t>
      </w:r>
      <w:r>
        <w:rPr>
          <w:rFonts w:ascii="Times New Roman" w:hAnsi="Times New Roman" w:eastAsia="Times New Roman" w:cs="Times New Roman"/>
          <w:color w:val="auto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39 096 806,0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тыс.руб., или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 xml:space="preserve">94,9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%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от годовых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ассигнований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41 194 629,3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тыс. руб.)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Исполнение расходов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за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2024 год составляло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31 558 789,6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тыс.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руб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                         или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 xml:space="preserve">93,4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%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от годовых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ассигнований.      </w:t>
      </w:r>
      <w:r>
        <w:rPr>
          <w:rFonts w:ascii="Times New Roman" w:hAnsi="Times New Roman" w:eastAsia="Times New Roman" w:cs="Times New Roman"/>
          <w:b/>
          <w:bCs/>
          <w:color w:val="auto"/>
          <w:sz w:val="20"/>
          <w:szCs w:val="20"/>
          <w:highlight w:val="white"/>
        </w:rPr>
        <w:t xml:space="preserve">       </w:t>
      </w:r>
      <w:r>
        <w:rPr>
          <w:rFonts w:ascii="Times New Roman" w:hAnsi="Times New Roman" w:cs="Times New Roman"/>
          <w:b/>
          <w:bCs/>
          <w:color w:val="auto" w:themeColor="accent1" w:themeShade="80"/>
          <w:sz w:val="20"/>
          <w:szCs w:val="20"/>
          <w:highlight w:val="white"/>
        </w:rPr>
      </w:r>
      <w:r>
        <w:rPr>
          <w:rFonts w:ascii="Times New Roman" w:hAnsi="Times New Roman" w:cs="Times New Roman"/>
          <w:b/>
          <w:bCs/>
          <w:color w:val="auto" w:themeColor="accent1" w:themeShade="80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right" w:pos="10488" w:leader="none"/>
        </w:tabs>
        <w:rPr>
          <w:rFonts w:ascii="Times New Roman" w:hAnsi="Times New Roman" w:cs="Times New Roman"/>
          <w:b/>
          <w:bCs/>
          <w:color w:val="1e4f79" w:themeColor="accent1" w:themeShade="80"/>
          <w:sz w:val="20"/>
          <w:szCs w:val="20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1e4f79" w:themeColor="accent1" w:themeShade="80"/>
          <w:sz w:val="20"/>
          <w:szCs w:val="2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1e4f79" w:themeColor="accent1" w:themeShade="80"/>
          <w:sz w:val="16"/>
          <w:szCs w:val="20"/>
          <w:highlight w:val="white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color w:val="1e4f79" w:themeColor="accent1" w:themeShade="80"/>
          <w:sz w:val="20"/>
          <w:szCs w:val="20"/>
          <w:highlight w:val="white"/>
        </w:rPr>
        <w:t xml:space="preserve">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1e4f79" w:themeColor="accent1" w:themeShade="80"/>
          <w:sz w:val="20"/>
          <w:szCs w:val="20"/>
          <w:highlight w:val="white"/>
        </w:rPr>
        <w:t xml:space="preserve">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1e4f79" w:themeColor="accent1" w:themeShade="80"/>
          <w:sz w:val="20"/>
          <w:szCs w:val="20"/>
          <w:highlight w:val="white"/>
        </w:rPr>
        <w:tab/>
      </w:r>
      <w:r>
        <w:rPr>
          <w:rFonts w:ascii="Times New Roman" w:hAnsi="Times New Roman" w:cs="Times New Roman"/>
          <w:b/>
          <w:bCs/>
          <w:color w:val="1e4f79" w:themeColor="accent1" w:themeShade="80"/>
          <w:sz w:val="20"/>
          <w:szCs w:val="20"/>
          <w:highlight w:val="white"/>
        </w:rPr>
      </w:r>
      <w:r>
        <w:rPr>
          <w:rFonts w:ascii="Times New Roman" w:hAnsi="Times New Roman" w:cs="Times New Roman"/>
          <w:b/>
          <w:bCs/>
          <w:color w:val="1e4f79" w:themeColor="accent1" w:themeShade="80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2.2. за счет средств, выделенных на исполнение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государственных полномочий, -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кассовое исполнение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составляет</w:t>
      </w:r>
      <w:r>
        <w:rPr>
          <w:rFonts w:ascii="Times New Roman" w:hAnsi="Times New Roman" w:eastAsia="Times New Roman" w:cs="Times New Roman"/>
          <w:color w:val="auto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17 642 008,9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тыс. руб., или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 xml:space="preserve">98,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9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%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           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от годовых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ассигнований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17 844 452,7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тыс. руб.)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Исполнение расходов за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2024 год составляло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15 775 523,3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тыс. руб., или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 xml:space="preserve">100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%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годовых ассигнований. </w:t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white"/>
        </w:rPr>
      </w:r>
    </w:p>
    <w:p>
      <w:pPr>
        <w:contextualSpacing w:val="0"/>
        <w:ind w:firstLine="720"/>
        <w:jc w:val="both"/>
        <w:spacing w:before="0" w:after="0" w:line="240" w:lineRule="auto"/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auto"/>
          <w:sz w:val="28"/>
          <w:highlight w:val="white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кассовое исполнение составляет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  <w:t xml:space="preserve">8 386 923,6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тыс. руб.,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или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 xml:space="preserve">84,5</w: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%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от годовых ассигновани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9 928 062,2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тыс. руб.)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Исполнение расходов за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2024 год составляло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9 401 122,8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тыс.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руб., или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93,9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%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от годовы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х ассигнован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ий.</w:t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before="0" w:after="0" w:line="240" w:lineRule="auto"/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auto" w:themeColor="accent1" w:themeShade="8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ходная часть бюджета за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2025 год по источникам финансирования в разрезе главных распорядителей бюджетных средств исполнена следующим образом.</w:t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1e4f79" w:themeColor="accent1" w:themeShade="80"/>
          <w:sz w:val="28"/>
          <w:szCs w:val="28"/>
        </w:rPr>
        <w:suppressLineNumbers w:val="0"/>
      </w:pPr>
      <w:r>
        <w:rPr>
          <w:rFonts w:ascii="Times New Roman" w:hAnsi="Times New Roman" w:cs="Times New Roman"/>
          <w:color w:val="auto" w:themeColor="accent1" w:themeShade="8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</w:rPr>
      </w:r>
      <w:r>
        <w:rPr>
          <w:rFonts w:ascii="Times New Roman" w:hAnsi="Times New Roman" w:cs="Times New Roman"/>
          <w:color w:val="1e4f79" w:themeColor="accent1" w:themeShade="80"/>
          <w:sz w:val="28"/>
          <w:szCs w:val="28"/>
        </w:rPr>
      </w:r>
    </w:p>
    <w:p>
      <w:pPr>
        <w:contextualSpacing w:val="0"/>
        <w:ind w:left="363" w:hanging="363"/>
        <w:jc w:val="left"/>
        <w:spacing w:before="0"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       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  2.1. Исполнение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расходов местного бюджета: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363" w:hanging="363"/>
        <w:jc w:val="left"/>
        <w:spacing w:before="0" w:after="0" w:afterAutospacing="0" w:line="24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highlight w:val="none"/>
        </w:rPr>
      </w:r>
    </w:p>
    <w:p>
      <w:pPr>
        <w:contextualSpacing w:val="0"/>
        <w:ind w:left="0" w:firstLine="708"/>
        <w:jc w:val="both"/>
        <w:spacing w:before="0"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выше 95,0 %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обеспечено следующими главными распорядителями бюджетных средств: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8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управлением записи актов гражданского состояния – на уровне 100,0 %;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13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контрольно-счетной палатой города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99,95 %;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28"/>
        </w:numPr>
        <w:ind w:left="363" w:hanging="363"/>
        <w:spacing w:after="0" w:afterAutospacing="0" w:line="362" w:lineRule="atLeast"/>
        <w:tabs>
          <w:tab w:val="num" w:pos="720" w:leader="none"/>
        </w:tabs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управлени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жилищных отношений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98,88 %;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29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Пермской городской Думой – на уровне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98,23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28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администрацией п. Новые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Ляды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98,12 %;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8"/>
        </w:numPr>
        <w:ind w:left="363" w:hanging="363"/>
        <w:jc w:val="left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департаментом социальной политики – на уровне 97,94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8"/>
        </w:numPr>
        <w:ind w:left="363" w:hanging="363"/>
        <w:jc w:val="left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департаментом градостроительства и архитектуры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97,84 %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8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департаментом общественной безопасности – на уровне</w:t>
      </w:r>
      <w:r>
        <w:rPr>
          <w:rFonts w:ascii="Times New Roman" w:hAnsi="Times New Roman" w:eastAsia="Times New Roman" w:cs="Times New Roman"/>
          <w:color w:val="auto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97,74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%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numPr>
          <w:ilvl w:val="0"/>
          <w:numId w:val="14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администраци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ей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Мотовилихинского района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97,72 %;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numPr>
          <w:ilvl w:val="0"/>
          <w:numId w:val="15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администрацией Кировского района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97,52 %;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numPr>
          <w:ilvl w:val="0"/>
          <w:numId w:val="8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highlight w:val="none"/>
        </w:rPr>
        <w:t xml:space="preserve">администрацией Свердловского района – на уровне </w:t>
      </w:r>
      <w:r>
        <w:rPr>
          <w:rFonts w:ascii="Times New Roman" w:hAnsi="Times New Roman" w:eastAsia="Times New Roman" w:cs="Times New Roman"/>
          <w:color w:val="auto"/>
          <w:sz w:val="28"/>
          <w:highlight w:val="none"/>
        </w:rPr>
        <w:t xml:space="preserve">97,51</w:t>
      </w:r>
      <w:r>
        <w:rPr>
          <w:rFonts w:ascii="Times New Roman" w:hAnsi="Times New Roman" w:eastAsia="Times New Roman" w:cs="Times New Roman"/>
          <w:color w:val="auto"/>
          <w:sz w:val="28"/>
          <w:highlight w:val="none"/>
        </w:rPr>
        <w:t xml:space="preserve"> %;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numPr>
          <w:ilvl w:val="0"/>
          <w:numId w:val="25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администрацией Индустриального района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97,38 %;</w:t>
      </w:r>
      <w:bookmarkStart w:id="0" w:name="undefined"/>
      <w:r>
        <w:rPr>
          <w:rFonts w:ascii="Times New Roman" w:hAnsi="Times New Roman" w:eastAsia="Times New Roman" w:cs="Times New Roman"/>
          <w:highlight w:val="none"/>
        </w:rPr>
      </w:r>
      <w:bookmarkEnd w:id="0"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22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администрацией Дзержинского района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97,32 %;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8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департаментом культуры и молодежной политики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96,99 %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27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администрацией Ленинского района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96,65 %;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30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комитетом по физической культуре и спорту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96,55 %;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numPr>
          <w:ilvl w:val="0"/>
          <w:numId w:val="30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администрацией Орджоникидзевского района – на уровне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40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96,48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%;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numPr>
          <w:ilvl w:val="0"/>
          <w:numId w:val="8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департаментом образования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96,33 %;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numPr>
          <w:ilvl w:val="0"/>
          <w:numId w:val="23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департаментом земельных отношений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96,17 %;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19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департаментом финансов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96,11 %;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numPr>
          <w:ilvl w:val="0"/>
          <w:numId w:val="18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контрольн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ым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департамент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ом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96,07 %;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numPr>
          <w:ilvl w:val="0"/>
          <w:numId w:val="21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администрацией города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95,97 %;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20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департаментом дорог и благоустройства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95,93 %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17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департаментом экономики и промышленной политики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95,50 %;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26"/>
        </w:numPr>
        <w:ind w:left="363" w:hanging="363"/>
        <w:spacing w:after="0" w:afterAutospacing="0" w:line="362" w:lineRule="atLeast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департаментом транспорта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95,17 %;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firstLine="708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afterAutospacing="0" w:line="362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highlight w:val="none"/>
        </w:rPr>
        <w:t xml:space="preserve">           ниже уровня 95,0 %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сложилось исполнение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 следующих главных распорядителей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бюджетных средств: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4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управления по экологии и природопользованию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92,86 %;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16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управлени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я капитального строительства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–  на уровне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88,68 %;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5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департамента жилищно-коммунального хозяйства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87,38 %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24"/>
        </w:numPr>
        <w:contextualSpacing w:val="0"/>
        <w:ind w:left="363" w:hanging="363"/>
        <w:jc w:val="left"/>
        <w:spacing w:before="0"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епартамента имущественных отношений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54,25 %.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ind w:left="363" w:hanging="363"/>
        <w:jc w:val="left"/>
        <w:spacing w:before="0"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ind w:left="363" w:hanging="363"/>
        <w:jc w:val="left"/>
        <w:spacing w:before="0" w:after="0" w:afterAutospacing="0" w:line="240" w:lineRule="auto"/>
        <w:tabs>
          <w:tab w:val="num" w:pos="900" w:leader="none"/>
        </w:tabs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2.2. Исполнение расходов по переданным государственным полномочиям: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ind w:left="363" w:hanging="363"/>
        <w:jc w:val="left"/>
        <w:spacing w:before="0" w:after="0" w:afterAutospacing="0" w:line="240" w:lineRule="auto"/>
        <w:tabs>
          <w:tab w:val="num" w:pos="900" w:leader="none"/>
        </w:tabs>
        <w:rPr>
          <w:rFonts w:ascii="Times New Roman" w:hAnsi="Times New Roman" w:cs="Times New Roman"/>
          <w:color w:val="auto"/>
          <w:sz w:val="20"/>
          <w:szCs w:val="20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      </w:t>
      </w:r>
      <w:r>
        <w:rPr>
          <w:rFonts w:ascii="Times New Roman" w:hAnsi="Times New Roman" w:cs="Times New Roman"/>
          <w:color w:val="auto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auto"/>
          <w:sz w:val="20"/>
          <w:szCs w:val="20"/>
          <w:highlight w:val="none"/>
        </w:rPr>
      </w:r>
    </w:p>
    <w:p>
      <w:pPr>
        <w:contextualSpacing w:val="0"/>
        <w:ind w:left="0" w:firstLine="708"/>
        <w:jc w:val="left"/>
        <w:spacing w:before="0"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выше 95,0 %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обеспе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чено следующими главными распорядителями бюджетных средств: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31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управлени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ем записи актов гражданского состояния – на уровне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100,0 %;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50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управлением по экологии и природопользованию – на уровне</w: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7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департаментом культуры и молодежной политики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100,0 %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numPr>
          <w:ilvl w:val="0"/>
          <w:numId w:val="32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администрацией Мотовилихинского района – на уровне 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33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администрацией Индустриального района – на уровне 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33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администрацией Кировского района – на уровне 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34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администрацией Орджоникидзевского района – на уровне 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47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департаментом дорог и благоустройства – на уровне 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48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департамент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ом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транспорта – на уровне 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49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контрольным департаментом – на уровне 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36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департаментом общественной безопасности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100,0 %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51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администрацией Свердловского района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99,99 %;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numPr>
          <w:ilvl w:val="0"/>
          <w:numId w:val="37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администрацией Дзержинского района – на уровне 99,87 %;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numPr>
          <w:ilvl w:val="0"/>
          <w:numId w:val="38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администрацией Ленинского района – на уровне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99,67 %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35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администрацией п. Новые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Ляды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на уровне 99,64 %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40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управлением жилищных отношений – на уровне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99,62 %;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4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департаментом образования – на уровне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98,85 %;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9"/>
        </w:numPr>
        <w:contextualSpacing w:val="0"/>
        <w:ind w:left="363" w:hanging="363"/>
        <w:jc w:val="left"/>
        <w:spacing w:before="0" w:after="0" w:afterAutospacing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комитетом по физической культуре и спорту – на уровне 97,36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left="0" w:firstLine="0"/>
        <w:jc w:val="left"/>
        <w:spacing w:before="0" w:after="0" w:afterAutospacing="0" w:line="240" w:lineRule="auto"/>
        <w:rPr>
          <w:rFonts w:ascii="Times New Roman" w:hAnsi="Times New Roman" w:cs="Times New Roman"/>
          <w:sz w:val="20"/>
          <w:szCs w:val="20"/>
        </w:rPr>
        <w:suppressLineNumbers w:val="0"/>
      </w:pPr>
      <w:r>
        <w:rPr>
          <w:rFonts w:ascii="Times New Roman" w:hAnsi="Times New Roman" w:eastAsia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contextualSpacing w:val="0"/>
        <w:ind w:left="0" w:firstLine="708"/>
        <w:jc w:val="both"/>
        <w:spacing w:before="0" w:after="0" w:afterAutospacing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ниже 95,0 %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39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департамента социальной политики – на уровне 93,31 %;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41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департамент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 жилищно-коммунального хозяйства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69,62 %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.</w:t>
      </w:r>
      <w:bookmarkStart w:id="0" w:name="undefined"/>
      <w:r>
        <w:rPr>
          <w:rFonts w:ascii="Times New Roman" w:hAnsi="Times New Roman" w:eastAsia="Times New Roman" w:cs="Times New Roman"/>
          <w:color w:val="auto"/>
        </w:rPr>
      </w:r>
      <w:bookmarkEnd w:id="0"/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363" w:firstLine="345"/>
        <w:spacing w:after="0" w:afterAutospacing="0" w:line="362" w:lineRule="atLeast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2.3. Исполнение расходов по средствам, переданным из краевого бюджета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ind w:left="363" w:hanging="363"/>
        <w:jc w:val="left"/>
        <w:spacing w:before="0" w:after="0" w:afterAutospacing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      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   на выполнение полномочий городского округа: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ind w:left="363" w:hanging="363"/>
        <w:jc w:val="left"/>
        <w:spacing w:before="0" w:after="0" w:afterAutospacing="0" w:line="240" w:lineRule="auto"/>
        <w:rPr>
          <w:rFonts w:ascii="Times New Roman" w:hAnsi="Times New Roman" w:cs="Times New Roman"/>
          <w:b/>
          <w:bCs/>
          <w:color w:val="auto"/>
          <w:sz w:val="20"/>
          <w:szCs w:val="20"/>
          <w:highlight w:val="yellow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auto"/>
          <w:sz w:val="16"/>
          <w:szCs w:val="16"/>
          <w:highlight w:val="yellow"/>
        </w:rPr>
      </w:r>
      <w:r>
        <w:rPr>
          <w:rFonts w:ascii="Times New Roman" w:hAnsi="Times New Roman" w:cs="Times New Roman"/>
          <w:b/>
          <w:bCs/>
          <w:color w:val="auto"/>
          <w:sz w:val="20"/>
          <w:szCs w:val="20"/>
          <w:highlight w:val="yellow"/>
        </w:rPr>
      </w:r>
      <w:r>
        <w:rPr>
          <w:rFonts w:ascii="Times New Roman" w:hAnsi="Times New Roman" w:cs="Times New Roman"/>
          <w:b/>
          <w:bCs/>
          <w:color w:val="auto"/>
          <w:sz w:val="20"/>
          <w:szCs w:val="20"/>
          <w:highlight w:val="yellow"/>
        </w:rPr>
      </w:r>
    </w:p>
    <w:p>
      <w:pPr>
        <w:contextualSpacing w:val="0"/>
        <w:ind w:left="0" w:firstLine="708"/>
        <w:jc w:val="left"/>
        <w:spacing w:before="0"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выше 95,0 %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обеспе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чено следующими главными распорядителями бюджетных средств: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42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управлени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ем записи актов гражданского состояния – на уровне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6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департаментом культуры и мо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лодежной политики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100,0 %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numPr>
          <w:ilvl w:val="0"/>
          <w:numId w:val="6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управлением капитального строительства – на уровне 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45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епартаментом транспорта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38"/>
        <w:numPr>
          <w:ilvl w:val="0"/>
          <w:numId w:val="52"/>
        </w:numPr>
        <w:ind w:left="363" w:hanging="363"/>
        <w:spacing w:after="0" w:afterAutospacing="0" w:line="362" w:lineRule="atLeast"/>
        <w:tabs>
          <w:tab w:val="clear" w:pos="360" w:leader="none"/>
        </w:tabs>
        <w:rPr>
          <w:rFonts w:ascii="Times New Roman" w:hAnsi="Times New Roman" w:cs="Times New Roman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департаментом общественной безопасности – на уровне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100,0 %;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numPr>
          <w:ilvl w:val="0"/>
          <w:numId w:val="12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ад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министрацией города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100,0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%;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pStyle w:val="938"/>
        <w:numPr>
          <w:ilvl w:val="0"/>
          <w:numId w:val="6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департамент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ом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земельных отношений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100,0 %;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numPr>
          <w:ilvl w:val="0"/>
          <w:numId w:val="6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color w:val="auto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99,99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%;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numPr>
          <w:ilvl w:val="0"/>
          <w:numId w:val="43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управлением жилищных отношений – на уровне 98,55 %;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6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епартаментом образования – на уровне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98,40 %;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numPr>
          <w:ilvl w:val="0"/>
          <w:numId w:val="44"/>
        </w:numPr>
        <w:contextualSpacing w:val="0"/>
        <w:ind w:left="363" w:hanging="363"/>
        <w:jc w:val="left"/>
        <w:spacing w:before="0" w:after="0" w:afterAutospacing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департаментом социальной политики – на уровне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97,46 %;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left="363" w:hanging="363"/>
        <w:jc w:val="left"/>
        <w:spacing w:before="0" w:after="0" w:afterAutospacing="0" w:line="240" w:lineRule="auto"/>
        <w:rPr>
          <w:rFonts w:ascii="Times New Roman" w:hAnsi="Times New Roman" w:cs="Times New Roman"/>
          <w:sz w:val="20"/>
          <w:szCs w:val="20"/>
        </w:rPr>
        <w:suppressLineNumbers w:val="0"/>
      </w:pP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contextualSpacing w:val="0"/>
        <w:ind w:left="0" w:firstLine="708"/>
        <w:jc w:val="left"/>
        <w:spacing w:before="0" w:after="0" w:afterAutospacing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ниже 95,0 %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numPr>
          <w:ilvl w:val="0"/>
          <w:numId w:val="6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управления по экологии и природопользованию – на уровне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94,57 %;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46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департамента дорог и благоустройства – на уровне 71,13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%;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numPr>
          <w:ilvl w:val="0"/>
          <w:numId w:val="46"/>
        </w:numPr>
        <w:ind w:left="363" w:hanging="363"/>
        <w:spacing w:after="0" w:afterAutospacing="0" w:line="362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департамент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жилищно-коммунального хозяйства – на уровне 27,19 %.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63" w:hanging="363"/>
        <w:spacing w:after="0" w:afterAutospacing="0" w:line="362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363" w:right="0" w:hanging="363"/>
        <w:jc w:val="both"/>
        <w:spacing w:before="0" w:after="0" w:afterAutospacing="0" w:line="362" w:lineRule="atLeast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363" w:right="0" w:hanging="363"/>
        <w:jc w:val="both"/>
        <w:spacing w:before="0" w:after="0" w:afterAutospacing="0" w:line="362" w:lineRule="atLeast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363" w:right="0" w:hanging="363"/>
        <w:jc w:val="both"/>
        <w:spacing w:before="0" w:after="0" w:afterAutospacing="0" w:line="362" w:lineRule="atLeast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363" w:right="0" w:hanging="363"/>
        <w:jc w:val="both"/>
        <w:spacing w:before="0" w:after="0" w:afterAutospacing="0" w:line="362" w:lineRule="atLeast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363" w:right="0" w:hanging="363"/>
        <w:jc w:val="both"/>
        <w:spacing w:before="0" w:after="0" w:afterAutospacing="0" w:line="362" w:lineRule="atLeast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363" w:right="0" w:hanging="363"/>
        <w:jc w:val="both"/>
        <w:spacing w:before="0" w:after="0" w:afterAutospacing="0" w:line="362" w:lineRule="atLeast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363" w:right="0" w:hanging="363"/>
        <w:jc w:val="both"/>
        <w:spacing w:before="0" w:after="0" w:afterAutospacing="0" w:line="362" w:lineRule="atLeast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363" w:right="0" w:hanging="363"/>
        <w:jc w:val="both"/>
        <w:spacing w:before="0" w:after="0" w:afterAutospacing="0" w:line="362" w:lineRule="atLeast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363" w:right="0" w:hanging="363"/>
        <w:jc w:val="both"/>
        <w:spacing w:before="0" w:after="0" w:afterAutospacing="0" w:line="362" w:lineRule="atLeast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363" w:right="0" w:hanging="363"/>
        <w:jc w:val="both"/>
        <w:spacing w:before="0" w:after="0" w:afterAutospacing="0" w:line="362" w:lineRule="atLeast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363" w:right="0" w:hanging="363"/>
        <w:jc w:val="both"/>
        <w:spacing w:before="0" w:after="0" w:afterAutospacing="0" w:line="362" w:lineRule="atLeast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567" w:right="567" w:bottom="567" w:left="10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8">
    <w:name w:val="Heading 1"/>
    <w:basedOn w:val="934"/>
    <w:next w:val="934"/>
    <w:link w:val="7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9">
    <w:name w:val="Heading 1 Char"/>
    <w:link w:val="758"/>
    <w:uiPriority w:val="9"/>
    <w:rPr>
      <w:rFonts w:ascii="Arial" w:hAnsi="Arial" w:eastAsia="Arial" w:cs="Arial"/>
      <w:sz w:val="40"/>
      <w:szCs w:val="40"/>
    </w:rPr>
  </w:style>
  <w:style w:type="paragraph" w:styleId="760">
    <w:name w:val="Heading 2"/>
    <w:basedOn w:val="934"/>
    <w:next w:val="934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1">
    <w:name w:val="Heading 2 Char"/>
    <w:link w:val="760"/>
    <w:uiPriority w:val="9"/>
    <w:rPr>
      <w:rFonts w:ascii="Arial" w:hAnsi="Arial" w:eastAsia="Arial" w:cs="Arial"/>
      <w:sz w:val="34"/>
    </w:rPr>
  </w:style>
  <w:style w:type="paragraph" w:styleId="762">
    <w:name w:val="Heading 3"/>
    <w:basedOn w:val="934"/>
    <w:next w:val="934"/>
    <w:link w:val="7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3">
    <w:name w:val="Heading 3 Char"/>
    <w:link w:val="762"/>
    <w:uiPriority w:val="9"/>
    <w:rPr>
      <w:rFonts w:ascii="Arial" w:hAnsi="Arial" w:eastAsia="Arial" w:cs="Arial"/>
      <w:sz w:val="30"/>
      <w:szCs w:val="30"/>
    </w:rPr>
  </w:style>
  <w:style w:type="paragraph" w:styleId="764">
    <w:name w:val="Heading 4"/>
    <w:basedOn w:val="934"/>
    <w:next w:val="934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5">
    <w:name w:val="Heading 4 Char"/>
    <w:link w:val="764"/>
    <w:uiPriority w:val="9"/>
    <w:rPr>
      <w:rFonts w:ascii="Arial" w:hAnsi="Arial" w:eastAsia="Arial" w:cs="Arial"/>
      <w:b/>
      <w:bCs/>
      <w:sz w:val="26"/>
      <w:szCs w:val="26"/>
    </w:rPr>
  </w:style>
  <w:style w:type="paragraph" w:styleId="766">
    <w:name w:val="Heading 5"/>
    <w:basedOn w:val="934"/>
    <w:next w:val="934"/>
    <w:link w:val="7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7">
    <w:name w:val="Heading 5 Char"/>
    <w:link w:val="766"/>
    <w:uiPriority w:val="9"/>
    <w:rPr>
      <w:rFonts w:ascii="Arial" w:hAnsi="Arial" w:eastAsia="Arial" w:cs="Arial"/>
      <w:b/>
      <w:bCs/>
      <w:sz w:val="24"/>
      <w:szCs w:val="24"/>
    </w:rPr>
  </w:style>
  <w:style w:type="paragraph" w:styleId="768">
    <w:name w:val="Heading 6"/>
    <w:basedOn w:val="934"/>
    <w:next w:val="934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9">
    <w:name w:val="Heading 6 Char"/>
    <w:link w:val="768"/>
    <w:uiPriority w:val="9"/>
    <w:rPr>
      <w:rFonts w:ascii="Arial" w:hAnsi="Arial" w:eastAsia="Arial" w:cs="Arial"/>
      <w:b/>
      <w:bCs/>
      <w:sz w:val="22"/>
      <w:szCs w:val="22"/>
    </w:rPr>
  </w:style>
  <w:style w:type="paragraph" w:styleId="770">
    <w:name w:val="Heading 7"/>
    <w:basedOn w:val="934"/>
    <w:next w:val="934"/>
    <w:link w:val="7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1">
    <w:name w:val="Heading 7 Char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2">
    <w:name w:val="Heading 8"/>
    <w:basedOn w:val="934"/>
    <w:next w:val="934"/>
    <w:link w:val="7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3">
    <w:name w:val="Heading 8 Char"/>
    <w:link w:val="772"/>
    <w:uiPriority w:val="9"/>
    <w:rPr>
      <w:rFonts w:ascii="Arial" w:hAnsi="Arial" w:eastAsia="Arial" w:cs="Arial"/>
      <w:i/>
      <w:iCs/>
      <w:sz w:val="22"/>
      <w:szCs w:val="22"/>
    </w:rPr>
  </w:style>
  <w:style w:type="paragraph" w:styleId="774">
    <w:name w:val="Heading 9"/>
    <w:basedOn w:val="934"/>
    <w:next w:val="934"/>
    <w:link w:val="7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>
    <w:name w:val="Heading 9 Char"/>
    <w:link w:val="774"/>
    <w:uiPriority w:val="9"/>
    <w:rPr>
      <w:rFonts w:ascii="Arial" w:hAnsi="Arial" w:eastAsia="Arial" w:cs="Arial"/>
      <w:i/>
      <w:iCs/>
      <w:sz w:val="21"/>
      <w:szCs w:val="21"/>
    </w:rPr>
  </w:style>
  <w:style w:type="paragraph" w:styleId="776">
    <w:name w:val="Title"/>
    <w:basedOn w:val="934"/>
    <w:next w:val="934"/>
    <w:link w:val="7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7">
    <w:name w:val="Title Char"/>
    <w:link w:val="776"/>
    <w:uiPriority w:val="10"/>
    <w:rPr>
      <w:sz w:val="48"/>
      <w:szCs w:val="48"/>
    </w:rPr>
  </w:style>
  <w:style w:type="paragraph" w:styleId="778">
    <w:name w:val="Subtitle"/>
    <w:basedOn w:val="934"/>
    <w:next w:val="934"/>
    <w:link w:val="779"/>
    <w:uiPriority w:val="11"/>
    <w:qFormat/>
    <w:pPr>
      <w:spacing w:before="200" w:after="200"/>
    </w:pPr>
    <w:rPr>
      <w:sz w:val="24"/>
      <w:szCs w:val="24"/>
    </w:rPr>
  </w:style>
  <w:style w:type="character" w:styleId="779">
    <w:name w:val="Subtitle Char"/>
    <w:link w:val="778"/>
    <w:uiPriority w:val="11"/>
    <w:rPr>
      <w:sz w:val="24"/>
      <w:szCs w:val="24"/>
    </w:rPr>
  </w:style>
  <w:style w:type="paragraph" w:styleId="780">
    <w:name w:val="Quote"/>
    <w:basedOn w:val="934"/>
    <w:next w:val="934"/>
    <w:link w:val="781"/>
    <w:uiPriority w:val="29"/>
    <w:qFormat/>
    <w:pPr>
      <w:ind w:left="720" w:right="720"/>
    </w:pPr>
    <w:rPr>
      <w:i/>
    </w:rPr>
  </w:style>
  <w:style w:type="character" w:styleId="781">
    <w:name w:val="Quote Char"/>
    <w:link w:val="780"/>
    <w:uiPriority w:val="29"/>
    <w:rPr>
      <w:i/>
    </w:rPr>
  </w:style>
  <w:style w:type="paragraph" w:styleId="782">
    <w:name w:val="Intense Quote"/>
    <w:basedOn w:val="934"/>
    <w:next w:val="934"/>
    <w:link w:val="7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>
    <w:name w:val="Intense Quote Char"/>
    <w:link w:val="782"/>
    <w:uiPriority w:val="30"/>
    <w:rPr>
      <w:i/>
    </w:rPr>
  </w:style>
  <w:style w:type="paragraph" w:styleId="784">
    <w:name w:val="Header"/>
    <w:basedOn w:val="934"/>
    <w:link w:val="7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5">
    <w:name w:val="Header Char"/>
    <w:link w:val="784"/>
    <w:uiPriority w:val="99"/>
  </w:style>
  <w:style w:type="paragraph" w:styleId="786">
    <w:name w:val="Footer"/>
    <w:basedOn w:val="934"/>
    <w:link w:val="7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7">
    <w:name w:val="Footer Char"/>
    <w:link w:val="786"/>
    <w:uiPriority w:val="99"/>
  </w:style>
  <w:style w:type="paragraph" w:styleId="788">
    <w:name w:val="Caption"/>
    <w:basedOn w:val="934"/>
    <w:next w:val="9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9">
    <w:name w:val="Caption Char"/>
    <w:basedOn w:val="788"/>
    <w:link w:val="786"/>
    <w:uiPriority w:val="99"/>
  </w:style>
  <w:style w:type="table" w:styleId="790">
    <w:name w:val="Table Grid"/>
    <w:basedOn w:val="9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Table Grid Light"/>
    <w:basedOn w:val="9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Plain Table 1"/>
    <w:basedOn w:val="9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basedOn w:val="9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4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9">
    <w:name w:val="Grid Table 4 - Accent 1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0">
    <w:name w:val="Grid Table 4 - Accent 2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Grid Table 4 - Accent 3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2">
    <w:name w:val="Grid Table 4 - Accent 4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Grid Table 4 - Accent 5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4">
    <w:name w:val="Grid Table 4 - Accent 6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5">
    <w:name w:val="Grid Table 5 Dark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2">
    <w:name w:val="Grid Table 6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3">
    <w:name w:val="Grid Table 6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4">
    <w:name w:val="Grid Table 6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5">
    <w:name w:val="Grid Table 6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6">
    <w:name w:val="Grid Table 6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7">
    <w:name w:val="Grid Table 6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6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7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4">
    <w:name w:val="List Table 2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5">
    <w:name w:val="List Table 2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6">
    <w:name w:val="List Table 2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7">
    <w:name w:val="List Table 2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8">
    <w:name w:val="List Table 2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9">
    <w:name w:val="List Table 2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0">
    <w:name w:val="List Table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5 Dark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6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2">
    <w:name w:val="List Table 6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3">
    <w:name w:val="List Table 6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4">
    <w:name w:val="List Table 6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5">
    <w:name w:val="List Table 6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6">
    <w:name w:val="List Table 6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7">
    <w:name w:val="List Table 6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8">
    <w:name w:val="List Table 7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9">
    <w:name w:val="List Table 7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0">
    <w:name w:val="List Table 7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1">
    <w:name w:val="List Table 7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2">
    <w:name w:val="List Table 7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3">
    <w:name w:val="List Table 7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4">
    <w:name w:val="List Table 7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5">
    <w:name w:val="Lined - Accent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Lined - Accent 1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7">
    <w:name w:val="Lined - Accent 2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8">
    <w:name w:val="Lined - Accent 3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9">
    <w:name w:val="Lined - Accent 4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0">
    <w:name w:val="Lined - Accent 5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1">
    <w:name w:val="Lined - Accent 6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2">
    <w:name w:val="Bordered &amp; Lined - Accent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Bordered &amp; Lined - Accent 1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4">
    <w:name w:val="Bordered &amp; Lined - Accent 2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5">
    <w:name w:val="Bordered &amp; Lined - Accent 3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6">
    <w:name w:val="Bordered &amp; Lined - Accent 4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7">
    <w:name w:val="Bordered &amp; Lined - Accent 5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8">
    <w:name w:val="Bordered &amp; Lined - Accent 6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9">
    <w:name w:val="Bordered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0">
    <w:name w:val="Bordered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1">
    <w:name w:val="Bordered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2">
    <w:name w:val="Bordered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3">
    <w:name w:val="Bordered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4">
    <w:name w:val="Bordered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5">
    <w:name w:val="Bordered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6">
    <w:name w:val="Hyperlink"/>
    <w:uiPriority w:val="99"/>
    <w:unhideWhenUsed/>
    <w:rPr>
      <w:color w:val="0000ff" w:themeColor="hyperlink"/>
      <w:u w:val="single"/>
    </w:rPr>
  </w:style>
  <w:style w:type="paragraph" w:styleId="917">
    <w:name w:val="footnote text"/>
    <w:basedOn w:val="934"/>
    <w:link w:val="918"/>
    <w:uiPriority w:val="99"/>
    <w:semiHidden/>
    <w:unhideWhenUsed/>
    <w:pPr>
      <w:spacing w:after="40" w:line="240" w:lineRule="auto"/>
    </w:pPr>
    <w:rPr>
      <w:sz w:val="18"/>
    </w:rPr>
  </w:style>
  <w:style w:type="character" w:styleId="918">
    <w:name w:val="Footnote Text Char"/>
    <w:link w:val="917"/>
    <w:uiPriority w:val="99"/>
    <w:rPr>
      <w:sz w:val="18"/>
    </w:rPr>
  </w:style>
  <w:style w:type="character" w:styleId="919">
    <w:name w:val="footnote reference"/>
    <w:uiPriority w:val="99"/>
    <w:unhideWhenUsed/>
    <w:rPr>
      <w:vertAlign w:val="superscript"/>
    </w:rPr>
  </w:style>
  <w:style w:type="paragraph" w:styleId="920">
    <w:name w:val="endnote text"/>
    <w:basedOn w:val="934"/>
    <w:link w:val="921"/>
    <w:uiPriority w:val="99"/>
    <w:semiHidden/>
    <w:unhideWhenUsed/>
    <w:pPr>
      <w:spacing w:after="0" w:line="240" w:lineRule="auto"/>
    </w:pPr>
    <w:rPr>
      <w:sz w:val="20"/>
    </w:rPr>
  </w:style>
  <w:style w:type="character" w:styleId="921">
    <w:name w:val="Endnote Text Char"/>
    <w:link w:val="920"/>
    <w:uiPriority w:val="99"/>
    <w:rPr>
      <w:sz w:val="20"/>
    </w:rPr>
  </w:style>
  <w:style w:type="character" w:styleId="922">
    <w:name w:val="endnote reference"/>
    <w:uiPriority w:val="99"/>
    <w:semiHidden/>
    <w:unhideWhenUsed/>
    <w:rPr>
      <w:vertAlign w:val="superscript"/>
    </w:rPr>
  </w:style>
  <w:style w:type="paragraph" w:styleId="923">
    <w:name w:val="toc 1"/>
    <w:basedOn w:val="934"/>
    <w:next w:val="934"/>
    <w:uiPriority w:val="39"/>
    <w:unhideWhenUsed/>
    <w:pPr>
      <w:ind w:left="0" w:right="0" w:firstLine="0"/>
      <w:spacing w:after="57"/>
    </w:pPr>
  </w:style>
  <w:style w:type="paragraph" w:styleId="924">
    <w:name w:val="toc 2"/>
    <w:basedOn w:val="934"/>
    <w:next w:val="934"/>
    <w:uiPriority w:val="39"/>
    <w:unhideWhenUsed/>
    <w:pPr>
      <w:ind w:left="283" w:right="0" w:firstLine="0"/>
      <w:spacing w:after="57"/>
    </w:pPr>
  </w:style>
  <w:style w:type="paragraph" w:styleId="925">
    <w:name w:val="toc 3"/>
    <w:basedOn w:val="934"/>
    <w:next w:val="934"/>
    <w:uiPriority w:val="39"/>
    <w:unhideWhenUsed/>
    <w:pPr>
      <w:ind w:left="567" w:right="0" w:firstLine="0"/>
      <w:spacing w:after="57"/>
    </w:pPr>
  </w:style>
  <w:style w:type="paragraph" w:styleId="926">
    <w:name w:val="toc 4"/>
    <w:basedOn w:val="934"/>
    <w:next w:val="934"/>
    <w:uiPriority w:val="39"/>
    <w:unhideWhenUsed/>
    <w:pPr>
      <w:ind w:left="850" w:right="0" w:firstLine="0"/>
      <w:spacing w:after="57"/>
    </w:pPr>
  </w:style>
  <w:style w:type="paragraph" w:styleId="927">
    <w:name w:val="toc 5"/>
    <w:basedOn w:val="934"/>
    <w:next w:val="934"/>
    <w:uiPriority w:val="39"/>
    <w:unhideWhenUsed/>
    <w:pPr>
      <w:ind w:left="1134" w:right="0" w:firstLine="0"/>
      <w:spacing w:after="57"/>
    </w:pPr>
  </w:style>
  <w:style w:type="paragraph" w:styleId="928">
    <w:name w:val="toc 6"/>
    <w:basedOn w:val="934"/>
    <w:next w:val="934"/>
    <w:uiPriority w:val="39"/>
    <w:unhideWhenUsed/>
    <w:pPr>
      <w:ind w:left="1417" w:right="0" w:firstLine="0"/>
      <w:spacing w:after="57"/>
    </w:pPr>
  </w:style>
  <w:style w:type="paragraph" w:styleId="929">
    <w:name w:val="toc 7"/>
    <w:basedOn w:val="934"/>
    <w:next w:val="934"/>
    <w:uiPriority w:val="39"/>
    <w:unhideWhenUsed/>
    <w:pPr>
      <w:ind w:left="1701" w:right="0" w:firstLine="0"/>
      <w:spacing w:after="57"/>
    </w:pPr>
  </w:style>
  <w:style w:type="paragraph" w:styleId="930">
    <w:name w:val="toc 8"/>
    <w:basedOn w:val="934"/>
    <w:next w:val="934"/>
    <w:uiPriority w:val="39"/>
    <w:unhideWhenUsed/>
    <w:pPr>
      <w:ind w:left="1984" w:right="0" w:firstLine="0"/>
      <w:spacing w:after="57"/>
    </w:pPr>
  </w:style>
  <w:style w:type="paragraph" w:styleId="931">
    <w:name w:val="toc 9"/>
    <w:basedOn w:val="934"/>
    <w:next w:val="934"/>
    <w:uiPriority w:val="39"/>
    <w:unhideWhenUsed/>
    <w:pPr>
      <w:ind w:left="2268" w:right="0" w:firstLine="0"/>
      <w:spacing w:after="57"/>
    </w:pPr>
  </w:style>
  <w:style w:type="paragraph" w:styleId="932">
    <w:name w:val="TOC Heading"/>
    <w:uiPriority w:val="39"/>
    <w:unhideWhenUsed/>
  </w:style>
  <w:style w:type="paragraph" w:styleId="933">
    <w:name w:val="table of figures"/>
    <w:basedOn w:val="934"/>
    <w:next w:val="934"/>
    <w:uiPriority w:val="99"/>
    <w:unhideWhenUsed/>
    <w:pPr>
      <w:spacing w:after="0" w:afterAutospacing="0"/>
    </w:pPr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6" w:default="1">
    <w:name w:val="No List"/>
    <w:uiPriority w:val="99"/>
    <w:semiHidden/>
    <w:unhideWhenUsed/>
  </w:style>
  <w:style w:type="paragraph" w:styleId="937">
    <w:name w:val="No Spacing"/>
    <w:basedOn w:val="934"/>
    <w:uiPriority w:val="1"/>
    <w:qFormat/>
    <w:pPr>
      <w:spacing w:after="0" w:line="240" w:lineRule="auto"/>
    </w:pPr>
  </w:style>
  <w:style w:type="paragraph" w:styleId="938">
    <w:name w:val="List Paragraph"/>
    <w:basedOn w:val="934"/>
    <w:uiPriority w:val="34"/>
    <w:qFormat/>
    <w:pPr>
      <w:contextualSpacing/>
      <w:ind w:left="720"/>
    </w:pPr>
  </w:style>
  <w:style w:type="character" w:styleId="93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legotkina-nyu</cp:lastModifiedBy>
  <cp:revision>18</cp:revision>
  <dcterms:modified xsi:type="dcterms:W3CDTF">2026-01-22T11:18:18Z</dcterms:modified>
</cp:coreProperties>
</file>