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32"/>
          <w:szCs w:val="32"/>
        </w:rPr>
      </w:r>
      <w:r>
        <w:rPr>
          <w:b/>
          <w:bCs/>
          <w:caps/>
          <w:color w:val="000000" w:themeColor="text1"/>
          <w:sz w:val="32"/>
          <w:szCs w:val="32"/>
        </w:rPr>
      </w:r>
    </w:p>
    <w:p>
      <w:pPr>
        <w:pStyle w:val="1088"/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pStyle w:val="1088"/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города Перми </w:t>
      </w:r>
      <w:r>
        <w:rPr>
          <w:b/>
          <w:caps/>
          <w:color w:val="000000" w:themeColor="text1"/>
          <w:sz w:val="32"/>
          <w:szCs w:val="32"/>
        </w:rPr>
        <w:t xml:space="preserve">на</w:t>
      </w:r>
      <w:r>
        <w:rPr>
          <w:b/>
          <w:caps/>
          <w:color w:val="000000" w:themeColor="text1"/>
          <w:sz w:val="32"/>
          <w:szCs w:val="32"/>
        </w:rPr>
        <w:t xml:space="preserve"> </w:t>
      </w:r>
      <w:r>
        <w:rPr>
          <w:b/>
          <w:caps/>
          <w:color w:val="000000" w:themeColor="text1"/>
          <w:sz w:val="32"/>
          <w:szCs w:val="32"/>
        </w:rPr>
        <w:t xml:space="preserve">1</w:t>
      </w:r>
      <w:r>
        <w:rPr>
          <w:b/>
          <w:caps/>
          <w:color w:val="000000" w:themeColor="text1"/>
          <w:sz w:val="32"/>
          <w:szCs w:val="32"/>
        </w:rPr>
        <w:t xml:space="preserve"> МАЯ</w:t>
      </w:r>
      <w:r>
        <w:rPr>
          <w:b/>
          <w:caps/>
          <w:color w:val="000000" w:themeColor="text1"/>
          <w:sz w:val="32"/>
          <w:szCs w:val="32"/>
        </w:rPr>
        <w:t xml:space="preserve"> </w:t>
      </w:r>
      <w:r>
        <w:rPr>
          <w:b/>
          <w:caps/>
          <w:color w:val="000000" w:themeColor="text1"/>
          <w:sz w:val="32"/>
          <w:szCs w:val="32"/>
        </w:rPr>
        <w:t xml:space="preserve">202</w:t>
      </w:r>
      <w:r>
        <w:rPr>
          <w:b/>
          <w:caps/>
          <w:color w:val="000000" w:themeColor="text1"/>
          <w:sz w:val="32"/>
          <w:szCs w:val="32"/>
        </w:rPr>
        <w:t xml:space="preserve">5 года 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pStyle w:val="1088"/>
        <w:jc w:val="center"/>
        <w:spacing w:line="240" w:lineRule="auto"/>
        <w:rPr>
          <w:b/>
          <w:caps/>
          <w:color w:val="000000" w:themeColor="text1"/>
          <w:sz w:val="16"/>
          <w:szCs w:val="16"/>
        </w:rPr>
      </w:pP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</w:p>
    <w:p>
      <w:pPr>
        <w:pStyle w:val="1088"/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пояснительная записка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pStyle w:val="1088"/>
        <w:ind w:firstLine="567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ind w:firstLine="709"/>
        <w:spacing w:line="240" w:lineRule="auto"/>
        <w:rPr>
          <w:strike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Исполнение бюджета города Перми по состоянию на 1 мая</w:t>
      </w:r>
      <w:r>
        <w:rPr>
          <w:color w:val="000000" w:themeColor="text1"/>
          <w:sz w:val="28"/>
          <w:szCs w:val="28"/>
        </w:rPr>
        <w:t xml:space="preserve"> 2</w:t>
      </w:r>
      <w:r>
        <w:rPr>
          <w:color w:val="000000" w:themeColor="text1"/>
          <w:sz w:val="28"/>
          <w:szCs w:val="28"/>
        </w:rPr>
        <w:t xml:space="preserve">0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5 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оперативным данным характеризуется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следующими показателями: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16"/>
          <w:szCs w:val="16"/>
        </w:rPr>
        <w:tab/>
      </w:r>
      <w:r>
        <w:rPr>
          <w:strike w:val="0"/>
          <w:color w:val="000000" w:themeColor="text1"/>
          <w:sz w:val="28"/>
          <w:szCs w:val="28"/>
        </w:rPr>
        <w:t xml:space="preserve">   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16"/>
          <w:szCs w:val="16"/>
        </w:rPr>
      </w:r>
      <w:r>
        <w:rPr>
          <w:strike w:val="0"/>
          <w:color w:val="000000" w:themeColor="text1"/>
          <w:sz w:val="16"/>
          <w:szCs w:val="16"/>
        </w:rPr>
        <w:t xml:space="preserve">     </w:t>
      </w:r>
      <w:r>
        <w:rPr>
          <w:strike w:val="0"/>
          <w:color w:val="000000" w:themeColor="text1"/>
          <w:sz w:val="16"/>
          <w:szCs w:val="16"/>
        </w:rPr>
        <w:t xml:space="preserve">   </w:t>
      </w:r>
      <w:r>
        <w:rPr>
          <w:strike w:val="0"/>
          <w:color w:val="000000" w:themeColor="text1"/>
          <w:sz w:val="16"/>
          <w:szCs w:val="16"/>
        </w:rPr>
        <w:t xml:space="preserve">                           </w:t>
      </w:r>
      <w:r>
        <w:rPr>
          <w:strike w:val="0"/>
          <w:color w:val="000000" w:themeColor="text1"/>
          <w:sz w:val="28"/>
          <w:szCs w:val="28"/>
        </w:rPr>
        <w:t xml:space="preserve">                                      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pStyle w:val="1088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</w:t>
      </w:r>
      <w:r>
        <w:rPr>
          <w:b/>
          <w:color w:val="000000" w:themeColor="text1"/>
          <w:sz w:val="28"/>
          <w:szCs w:val="28"/>
        </w:rPr>
        <w:t xml:space="preserve">о доходам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-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сумм</w:t>
      </w:r>
      <w:r>
        <w:rPr>
          <w:color w:val="000000" w:themeColor="text1"/>
          <w:sz w:val="28"/>
          <w:szCs w:val="28"/>
        </w:rPr>
        <w:t xml:space="preserve">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17 710 981,5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ил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100,4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ян</w:t>
      </w:r>
      <w:r>
        <w:rPr>
          <w:color w:val="000000" w:themeColor="text1"/>
          <w:sz w:val="28"/>
          <w:szCs w:val="28"/>
        </w:rPr>
        <w:t xml:space="preserve">варя-апреля 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 xml:space="preserve">5 года (</w:t>
      </w:r>
      <w:r>
        <w:rPr>
          <w:color w:val="000000" w:themeColor="text1"/>
          <w:sz w:val="28"/>
          <w:szCs w:val="28"/>
        </w:rPr>
        <w:t xml:space="preserve">17 646 456,5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28,6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</w:t>
      </w:r>
      <w:r>
        <w:rPr>
          <w:color w:val="000000" w:themeColor="text1"/>
          <w:sz w:val="28"/>
          <w:szCs w:val="28"/>
        </w:rPr>
        <w:t xml:space="preserve"> уточненного</w:t>
      </w:r>
      <w:r>
        <w:rPr>
          <w:color w:val="000000" w:themeColor="text1"/>
          <w:sz w:val="28"/>
          <w:szCs w:val="28"/>
        </w:rPr>
        <w:t xml:space="preserve"> годового плана                   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61 992 966,3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руб.).  За аналогичный период  прошлого  года  поступления  доходов составляли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15 493 865,4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ind w:firstLine="567"/>
        <w:spacing w:line="240" w:lineRule="atLeast"/>
        <w:rPr>
          <w:strike w:val="0"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16"/>
          <w:szCs w:val="16"/>
        </w:rPr>
      </w:r>
      <w:r>
        <w:rPr>
          <w:strike w:val="0"/>
          <w:color w:val="000000" w:themeColor="text1"/>
          <w:sz w:val="28"/>
          <w:szCs w:val="28"/>
        </w:rPr>
        <w:t xml:space="preserve">Анализ поступления доходов бюджета за </w:t>
      </w:r>
      <w:r>
        <w:rPr>
          <w:color w:val="000000" w:themeColor="text1"/>
          <w:sz w:val="28"/>
          <w:szCs w:val="28"/>
        </w:rPr>
        <w:t xml:space="preserve">январь-апрель </w:t>
      </w:r>
      <w:r>
        <w:rPr>
          <w:strike w:val="0"/>
          <w:color w:val="000000" w:themeColor="text1"/>
          <w:sz w:val="28"/>
          <w:szCs w:val="28"/>
        </w:rPr>
        <w:t xml:space="preserve">20</w:t>
      </w:r>
      <w:r>
        <w:rPr>
          <w:strike w:val="0"/>
          <w:color w:val="000000" w:themeColor="text1"/>
          <w:sz w:val="28"/>
          <w:szCs w:val="28"/>
        </w:rPr>
        <w:t xml:space="preserve">2</w:t>
      </w:r>
      <w:r>
        <w:rPr>
          <w:strike w:val="0"/>
          <w:color w:val="000000" w:themeColor="text1"/>
          <w:sz w:val="28"/>
          <w:szCs w:val="28"/>
        </w:rPr>
        <w:t xml:space="preserve">4 и 202</w:t>
      </w:r>
      <w:r>
        <w:rPr>
          <w:strike w:val="0"/>
          <w:color w:val="000000" w:themeColor="text1"/>
          <w:sz w:val="28"/>
          <w:szCs w:val="28"/>
        </w:rPr>
        <w:t xml:space="preserve">5 </w:t>
      </w:r>
      <w:r>
        <w:rPr>
          <w:color w:val="000000" w:themeColor="text1"/>
          <w:sz w:val="28"/>
          <w:szCs w:val="28"/>
        </w:rPr>
        <w:t xml:space="preserve">годов </w:t>
      </w:r>
      <w:r>
        <w:rPr>
          <w:strike w:val="0"/>
          <w:color w:val="000000" w:themeColor="text1"/>
          <w:sz w:val="28"/>
          <w:szCs w:val="28"/>
        </w:rPr>
        <w:t xml:space="preserve"> приведен в следующей таблице:  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567"/>
        <w:spacing w:line="240" w:lineRule="atLeast"/>
        <w:rPr>
          <w:strike w:val="0"/>
          <w:color w:val="000000" w:themeColor="text1"/>
          <w:sz w:val="16"/>
          <w:szCs w:val="16"/>
        </w:rPr>
      </w:pPr>
      <w:r>
        <w:rPr>
          <w:strike w:val="0"/>
          <w:color w:val="000000" w:themeColor="text1"/>
          <w:sz w:val="16"/>
          <w:szCs w:val="16"/>
          <w:highlight w:val="none"/>
        </w:rPr>
      </w:r>
      <w:r>
        <w:rPr>
          <w:strike w:val="0"/>
          <w:color w:val="000000" w:themeColor="text1"/>
          <w:sz w:val="16"/>
          <w:szCs w:val="16"/>
        </w:rPr>
      </w:r>
      <w:r>
        <w:rPr>
          <w:strike w:val="0"/>
          <w:color w:val="000000" w:themeColor="text1"/>
          <w:sz w:val="16"/>
          <w:szCs w:val="16"/>
        </w:rPr>
      </w:r>
    </w:p>
    <w:p>
      <w:pPr>
        <w:ind w:firstLine="567"/>
        <w:jc w:val="right"/>
        <w:spacing w:line="240" w:lineRule="atLeast"/>
        <w:rPr>
          <w:strike w:val="0"/>
          <w:color w:val="000000" w:themeColor="text1"/>
          <w:sz w:val="22"/>
          <w:szCs w:val="22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   </w:t>
      </w:r>
      <w:r>
        <w:rPr>
          <w:strike w:val="0"/>
          <w:color w:val="000000" w:themeColor="text1"/>
          <w:sz w:val="18"/>
          <w:szCs w:val="18"/>
        </w:rPr>
        <w:t xml:space="preserve">  </w:t>
      </w:r>
      <w:r>
        <w:rPr>
          <w:color w:val="000000" w:themeColor="text1"/>
          <w:sz w:val="20"/>
          <w:szCs w:val="20"/>
        </w:rPr>
        <w:t xml:space="preserve">(тыс.руб.)</w:t>
      </w:r>
      <w:r>
        <w:rPr>
          <w:strike w:val="0"/>
          <w:color w:val="000000" w:themeColor="text1"/>
          <w:sz w:val="22"/>
          <w:szCs w:val="22"/>
          <w:highlight w:val="none"/>
        </w:rPr>
      </w:r>
      <w:r>
        <w:rPr>
          <w:strike w:val="0"/>
          <w:color w:val="000000" w:themeColor="text1"/>
          <w:sz w:val="22"/>
          <w:szCs w:val="22"/>
          <w:highlight w:val="none"/>
        </w:rPr>
      </w:r>
    </w:p>
    <w:tbl>
      <w:tblPr>
        <w:tblW w:w="10632" w:type="dxa"/>
        <w:jc w:val="center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1701"/>
        <w:gridCol w:w="1701"/>
        <w:gridCol w:w="1461"/>
        <w:gridCol w:w="1418"/>
      </w:tblGrid>
      <w:tr>
        <w:tblPrEx/>
        <w:trPr>
          <w:trHeight w:val="934"/>
        </w:trPr>
        <w:tc>
          <w:tcPr>
            <w:tcBorders>
              <w:bottom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01.05.202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4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01.05.202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5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single" w:color="000000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pStyle w:val="1088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и неналоговые доходы,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pStyle w:val="1088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7 589 838,7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9 534 559,0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1 944 720,3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125,6%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pStyle w:val="1088"/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4 744 160,2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6 965 222,4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2 221 062,2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146,8%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pStyle w:val="1088"/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2 845 678,5</w:t>
            </w:r>
            <w:r>
              <w:rPr>
                <w:bCs/>
                <w:color w:val="000000" w:themeColor="text1"/>
                <w:sz w:val="22"/>
              </w:rPr>
            </w:r>
            <w:r>
              <w:rPr>
                <w:bCs/>
                <w:color w:val="000000" w:themeColor="text1"/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2 569 336,6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-276 341,9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90,3%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pStyle w:val="1088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7 904 026,7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8 176 422,5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1" w:type="dxa"/>
            <w:vAlign w:val="top"/>
            <w:textDirection w:val="lrTb"/>
            <w:noWrap w:val="false"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272 395,8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103,4%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52" w:type="dxa"/>
            <w:vAlign w:val="center"/>
            <w:textDirection w:val="lrTb"/>
            <w:noWrap w:val="false"/>
          </w:tcPr>
          <w:p>
            <w:pPr>
              <w:pStyle w:val="1088"/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15 493 865,4</w:t>
            </w:r>
            <w:r>
              <w:rPr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17 710 981,5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1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2 217 116,1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top"/>
            <w:textDirection w:val="lrTb"/>
            <w:noWrap/>
          </w:tcPr>
          <w:p>
            <w:pPr>
              <w:pStyle w:val="1088"/>
              <w:jc w:val="center"/>
              <w:spacing w:line="240" w:lineRule="atLeast"/>
              <w:widowControl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szCs w:val="24"/>
                <w:u w:val="none"/>
                <w:vertAlign w:val="baseline"/>
              </w:rPr>
              <w:t xml:space="preserve">114,3%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b/>
                <w:bCs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tLeast"/>
        <w:rPr>
          <w:color w:val="000000" w:themeColor="text1"/>
          <w:sz w:val="16"/>
          <w:szCs w:val="16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</w:t>
      </w:r>
      <w:r>
        <w:rPr>
          <w:color w:val="000000" w:themeColor="text1"/>
          <w:sz w:val="28"/>
          <w:szCs w:val="28"/>
        </w:rPr>
        <w:t xml:space="preserve">норматива зачисления налога на доходы физических лиц, </w:t>
      </w:r>
      <w:r>
        <w:rPr>
          <w:color w:val="000000" w:themeColor="text1"/>
          <w:sz w:val="28"/>
          <w:szCs w:val="28"/>
        </w:rPr>
        <w:t xml:space="preserve">в настоящем анализе объем доходов бюджета 2024 года приведен                   в сопоставимы</w:t>
      </w:r>
      <w:r>
        <w:rPr>
          <w:color w:val="000000" w:themeColor="text1"/>
          <w:sz w:val="28"/>
          <w:szCs w:val="28"/>
        </w:rPr>
        <w:t xml:space="preserve">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условия </w:t>
      </w:r>
      <w:r>
        <w:rPr>
          <w:color w:val="000000" w:themeColor="text1"/>
          <w:sz w:val="28"/>
          <w:szCs w:val="28"/>
        </w:rPr>
        <w:t xml:space="preserve">(норматив по НДФЛ – 30,0 %).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4"/>
          <w:szCs w:val="24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pStyle w:val="1088"/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по </w:t>
      </w:r>
      <w:r>
        <w:rPr>
          <w:b/>
          <w:color w:val="000000" w:themeColor="text1"/>
          <w:sz w:val="28"/>
          <w:szCs w:val="28"/>
        </w:rPr>
        <w:t xml:space="preserve">расходам</w:t>
      </w:r>
      <w:r>
        <w:rPr>
          <w:color w:val="000000" w:themeColor="text1"/>
          <w:sz w:val="28"/>
          <w:szCs w:val="28"/>
        </w:rPr>
        <w:t xml:space="preserve"> - в </w:t>
      </w:r>
      <w:r>
        <w:rPr>
          <w:color w:val="000000" w:themeColor="text1"/>
          <w:sz w:val="28"/>
          <w:szCs w:val="28"/>
        </w:rPr>
        <w:t xml:space="preserve">сумме</w:t>
      </w:r>
      <w:r>
        <w:rPr>
          <w:color w:val="000000" w:themeColor="text1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16 796 010,6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руб.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94,2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 кассового</w:t>
      </w:r>
      <w:r>
        <w:rPr>
          <w:color w:val="000000" w:themeColor="text1"/>
          <w:sz w:val="28"/>
          <w:szCs w:val="28"/>
        </w:rPr>
        <w:t xml:space="preserve"> плана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</w:t>
      </w:r>
      <w:r>
        <w:rPr>
          <w:color w:val="000000" w:themeColor="text1"/>
          <w:sz w:val="28"/>
          <w:szCs w:val="28"/>
        </w:rPr>
        <w:t xml:space="preserve">января-апреля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0</w:t>
      </w:r>
      <w:r>
        <w:rPr>
          <w:color w:val="000000" w:themeColor="text1"/>
          <w:sz w:val="28"/>
          <w:szCs w:val="28"/>
        </w:rPr>
        <w:t xml:space="preserve">2</w:t>
      </w:r>
      <w:r>
        <w:rPr>
          <w:color w:val="000000" w:themeColor="text1"/>
          <w:sz w:val="28"/>
          <w:szCs w:val="28"/>
        </w:rPr>
        <w:t xml:space="preserve">5 года (</w:t>
      </w:r>
      <w:r>
        <w:rPr>
          <w:color w:val="000000" w:themeColor="text1"/>
          <w:sz w:val="28"/>
          <w:szCs w:val="28"/>
        </w:rPr>
        <w:t xml:space="preserve">17 827 310,0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</w:t>
      </w:r>
      <w:r>
        <w:rPr>
          <w:color w:val="000000" w:themeColor="text1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25,3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</w:t>
      </w:r>
      <w:r>
        <w:rPr>
          <w:color w:val="000000" w:themeColor="text1"/>
          <w:sz w:val="28"/>
          <w:szCs w:val="28"/>
        </w:rPr>
        <w:t xml:space="preserve"> годовых ассигнований</w:t>
      </w:r>
      <w:r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66 508 729,6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</w:t>
      </w:r>
      <w:r>
        <w:rPr>
          <w:color w:val="000000" w:themeColor="text1"/>
          <w:sz w:val="28"/>
          <w:szCs w:val="28"/>
        </w:rPr>
        <w:t xml:space="preserve">руб.). </w:t>
      </w:r>
      <w:r>
        <w:rPr>
          <w:color w:val="000000" w:themeColor="text1"/>
          <w:sz w:val="28"/>
          <w:szCs w:val="28"/>
        </w:rPr>
        <w:t xml:space="preserve">К</w:t>
      </w:r>
      <w:r>
        <w:rPr>
          <w:bCs/>
          <w:color w:val="000000" w:themeColor="text1"/>
          <w:sz w:val="28"/>
          <w:szCs w:val="28"/>
        </w:rPr>
        <w:t xml:space="preserve">а</w:t>
      </w:r>
      <w:r>
        <w:rPr>
          <w:bCs/>
          <w:color w:val="000000" w:themeColor="text1"/>
          <w:sz w:val="28"/>
          <w:szCs w:val="28"/>
        </w:rPr>
        <w:t xml:space="preserve">с</w:t>
      </w:r>
      <w:r>
        <w:rPr>
          <w:bCs/>
          <w:color w:val="000000" w:themeColor="text1"/>
          <w:sz w:val="28"/>
          <w:szCs w:val="28"/>
        </w:rPr>
        <w:t xml:space="preserve">совый</w:t>
      </w:r>
      <w:r>
        <w:rPr>
          <w:bCs/>
          <w:color w:val="000000" w:themeColor="text1"/>
          <w:sz w:val="28"/>
          <w:szCs w:val="28"/>
        </w:rPr>
        <w:t xml:space="preserve">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составлял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15 131 056,6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</w:t>
      </w:r>
      <w:r>
        <w:rPr>
          <w:color w:val="000000" w:themeColor="text1"/>
          <w:sz w:val="28"/>
          <w:szCs w:val="28"/>
        </w:rPr>
        <w:t xml:space="preserve">., </w:t>
      </w:r>
      <w:r>
        <w:rPr>
          <w:color w:val="000000" w:themeColor="text1"/>
          <w:sz w:val="28"/>
          <w:szCs w:val="28"/>
        </w:rPr>
        <w:t xml:space="preserve">или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94,8 %</w:t>
      </w:r>
      <w:r>
        <w:rPr>
          <w:color w:val="000000" w:themeColor="text1"/>
          <w:sz w:val="28"/>
          <w:szCs w:val="28"/>
        </w:rPr>
        <w:t xml:space="preserve"> от кассового</w:t>
      </w:r>
      <w:r>
        <w:rPr>
          <w:color w:val="000000" w:themeColor="text1"/>
          <w:sz w:val="28"/>
          <w:szCs w:val="28"/>
        </w:rPr>
        <w:t xml:space="preserve"> плана </w:t>
      </w:r>
      <w:r>
        <w:rPr>
          <w:color w:val="000000" w:themeColor="text1"/>
          <w:sz w:val="28"/>
          <w:szCs w:val="28"/>
        </w:rPr>
        <w:t xml:space="preserve">января-апреля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4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88"/>
        <w:ind w:firstLine="709"/>
        <w:spacing w:line="240" w:lineRule="auto"/>
        <w:rPr>
          <w:color w:val="000000" w:themeColor="text1"/>
          <w:sz w:val="20"/>
          <w:szCs w:val="22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 w:val="20"/>
          <w:szCs w:val="22"/>
        </w:rPr>
      </w:r>
      <w:r>
        <w:rPr>
          <w:color w:val="000000" w:themeColor="text1"/>
          <w:sz w:val="20"/>
          <w:szCs w:val="22"/>
        </w:rPr>
      </w:r>
    </w:p>
    <w:p>
      <w:pPr>
        <w:pStyle w:val="1088"/>
        <w:ind w:firstLine="709"/>
        <w:spacing w:line="240" w:lineRule="auto"/>
        <w:rPr>
          <w:b/>
          <w:color w:val="000000" w:themeColor="text1"/>
          <w:sz w:val="12"/>
          <w:szCs w:val="28"/>
        </w:rPr>
      </w:pPr>
      <w:r>
        <w:rPr>
          <w:color w:val="000000" w:themeColor="text1"/>
          <w:sz w:val="28"/>
          <w:szCs w:val="28"/>
        </w:rPr>
        <w:t xml:space="preserve">Поступления доходов за </w:t>
      </w:r>
      <w:r>
        <w:rPr>
          <w:color w:val="000000" w:themeColor="text1"/>
          <w:sz w:val="28"/>
          <w:szCs w:val="28"/>
        </w:rPr>
        <w:t xml:space="preserve">январь-апрель 2025 года</w:t>
      </w:r>
      <w:r>
        <w:rPr>
          <w:color w:val="000000" w:themeColor="text1"/>
          <w:sz w:val="28"/>
          <w:szCs w:val="28"/>
        </w:rPr>
        <w:t xml:space="preserve"> превысили выплаты                             по расходам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умму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914 970,9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88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38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pStyle w:val="1088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6 965 222,4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  <w:t xml:space="preserve">,</w:t>
      </w:r>
      <w:r>
        <w:rPr>
          <w:strike w:val="0"/>
          <w:color w:val="000000" w:themeColor="text1"/>
          <w:sz w:val="28"/>
          <w:szCs w:val="28"/>
        </w:rPr>
        <w:t xml:space="preserve"> или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100,3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%</w:t>
      </w:r>
      <w:r>
        <w:rPr>
          <w:strike w:val="0"/>
          <w:color w:val="000000" w:themeColor="text1"/>
          <w:sz w:val="28"/>
          <w:szCs w:val="28"/>
        </w:rPr>
        <w:t xml:space="preserve">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аря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-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р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е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л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</w:t>
      </w:r>
      <w:r>
        <w:rPr>
          <w:strike w:val="0"/>
          <w:color w:val="000000" w:themeColor="text1"/>
          <w:sz w:val="28"/>
          <w:szCs w:val="28"/>
        </w:rPr>
        <w:t xml:space="preserve"> 2025 года (</w:t>
      </w:r>
      <w:r>
        <w:rPr>
          <w:strike w:val="0"/>
          <w:color w:val="000000" w:themeColor="text1"/>
          <w:sz w:val="28"/>
          <w:szCs w:val="28"/>
        </w:rPr>
        <w:t xml:space="preserve">6 947 808,5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руб.) и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24,8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% </w:t>
      </w:r>
      <w:r>
        <w:rPr>
          <w:strike w:val="0"/>
          <w:color w:val="000000" w:themeColor="text1"/>
          <w:sz w:val="28"/>
          <w:szCs w:val="28"/>
        </w:rPr>
        <w:t xml:space="preserve">к пл</w:t>
      </w:r>
      <w:r>
        <w:rPr>
          <w:strike w:val="0"/>
          <w:color w:val="000000" w:themeColor="text1"/>
          <w:sz w:val="28"/>
          <w:szCs w:val="28"/>
        </w:rPr>
        <w:t xml:space="preserve">ану года (</w:t>
      </w:r>
      <w:r>
        <w:rPr>
          <w:strike w:val="0"/>
          <w:color w:val="000000" w:themeColor="text1"/>
          <w:sz w:val="28"/>
          <w:szCs w:val="28"/>
        </w:rPr>
        <w:t xml:space="preserve">28 065 221,</w:t>
      </w:r>
      <w:r>
        <w:rPr>
          <w:strike w:val="0"/>
          <w:color w:val="000000" w:themeColor="text1"/>
          <w:sz w:val="28"/>
          <w:szCs w:val="28"/>
        </w:rPr>
        <w:t xml:space="preserve">0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руб.)</w:t>
      </w:r>
      <w:r>
        <w:rPr>
          <w:strike w:val="0"/>
          <w:color w:val="000000" w:themeColor="text1"/>
          <w:sz w:val="28"/>
          <w:szCs w:val="28"/>
        </w:rPr>
        <w:t xml:space="preserve">. За аналогичный период прошлого года поступления </w:t>
      </w:r>
      <w:r>
        <w:rPr>
          <w:color w:val="000000" w:themeColor="text1"/>
          <w:sz w:val="28"/>
          <w:szCs w:val="28"/>
        </w:rPr>
        <w:t xml:space="preserve">налоговых доходов </w:t>
      </w:r>
      <w:r>
        <w:rPr>
          <w:strike w:val="0"/>
          <w:color w:val="000000" w:themeColor="text1"/>
          <w:sz w:val="28"/>
          <w:szCs w:val="28"/>
        </w:rPr>
        <w:t xml:space="preserve">составляли </w:t>
      </w:r>
      <w:r>
        <w:rPr>
          <w:strike w:val="0"/>
          <w:color w:val="000000" w:themeColor="text1"/>
          <w:sz w:val="28"/>
          <w:szCs w:val="28"/>
        </w:rPr>
        <w:t xml:space="preserve">4 744 160,2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Неналоговые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</w:t>
      </w:r>
      <w:r>
        <w:rPr>
          <w:strike w:val="0"/>
          <w:color w:val="000000" w:themeColor="text1"/>
          <w:sz w:val="28"/>
          <w:szCs w:val="28"/>
        </w:rPr>
        <w:t xml:space="preserve">ме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2 569 336,6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.,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</w:t>
      </w:r>
      <w:r>
        <w:rPr>
          <w:strike w:val="0"/>
          <w:color w:val="000000" w:themeColor="text1"/>
          <w:sz w:val="28"/>
          <w:szCs w:val="28"/>
        </w:rPr>
        <w:t xml:space="preserve">ли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113,6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%</w:t>
      </w:r>
      <w:r>
        <w:rPr>
          <w:strike w:val="0"/>
          <w:color w:val="000000" w:themeColor="text1"/>
          <w:sz w:val="28"/>
          <w:szCs w:val="28"/>
        </w:rPr>
        <w:t xml:space="preserve"> к план</w:t>
      </w:r>
      <w:r>
        <w:rPr>
          <w:strike w:val="0"/>
          <w:color w:val="000000" w:themeColor="text1"/>
          <w:sz w:val="28"/>
          <w:szCs w:val="28"/>
        </w:rPr>
        <w:t xml:space="preserve">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-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р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е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л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</w:t>
      </w:r>
      <w:r>
        <w:rPr>
          <w:strike w:val="0"/>
          <w:color w:val="000000" w:themeColor="text1"/>
          <w:sz w:val="28"/>
          <w:szCs w:val="28"/>
        </w:rPr>
        <w:t xml:space="preserve"> 2025 года (</w:t>
      </w:r>
      <w:r>
        <w:rPr>
          <w:strike w:val="0"/>
          <w:color w:val="000000" w:themeColor="text1"/>
          <w:sz w:val="28"/>
          <w:szCs w:val="28"/>
        </w:rPr>
        <w:t xml:space="preserve">2 262 353,9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руб.) и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34,1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%</w:t>
      </w:r>
      <w:r>
        <w:rPr>
          <w:strike w:val="0"/>
          <w:color w:val="000000" w:themeColor="text1"/>
          <w:sz w:val="28"/>
          <w:szCs w:val="28"/>
        </w:rPr>
        <w:t xml:space="preserve"> к плану года (</w:t>
      </w:r>
      <w:r>
        <w:rPr>
          <w:strike w:val="0"/>
          <w:color w:val="000000" w:themeColor="text1"/>
          <w:sz w:val="28"/>
          <w:szCs w:val="28"/>
        </w:rPr>
        <w:t xml:space="preserve">7 543 096,6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</w:t>
      </w:r>
      <w:r>
        <w:rPr>
          <w:strike w:val="0"/>
          <w:color w:val="000000" w:themeColor="text1"/>
          <w:sz w:val="28"/>
          <w:szCs w:val="28"/>
        </w:rPr>
        <w:t xml:space="preserve"> руб.).</w:t>
      </w:r>
      <w:r>
        <w:rPr>
          <w:strike w:val="0"/>
          <w:color w:val="000000" w:themeColor="text1"/>
          <w:sz w:val="28"/>
          <w:szCs w:val="28"/>
        </w:rPr>
        <w:t xml:space="preserve"> За аналогичный период прошлого года поступления </w:t>
      </w:r>
      <w:r>
        <w:rPr>
          <w:color w:val="000000" w:themeColor="text1"/>
          <w:sz w:val="28"/>
          <w:szCs w:val="28"/>
        </w:rPr>
        <w:t xml:space="preserve">неналоговых доходов</w:t>
      </w:r>
      <w:r>
        <w:rPr>
          <w:strike w:val="0"/>
          <w:color w:val="000000" w:themeColor="text1"/>
          <w:sz w:val="28"/>
          <w:szCs w:val="28"/>
        </w:rPr>
        <w:t xml:space="preserve"> составляли </w:t>
      </w:r>
      <w:r>
        <w:rPr>
          <w:strike w:val="0"/>
          <w:color w:val="000000" w:themeColor="text1"/>
          <w:sz w:val="28"/>
          <w:szCs w:val="28"/>
        </w:rPr>
        <w:t xml:space="preserve">2 845 678,5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0"/>
          <w:szCs w:val="20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0"/>
          <w:szCs w:val="20"/>
        </w:rPr>
      </w:r>
      <w:r>
        <w:rPr>
          <w:strike w:val="0"/>
          <w:color w:val="000000" w:themeColor="text1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strike w:val="0"/>
          <w:color w:val="000000" w:themeColor="text1"/>
          <w:sz w:val="28"/>
          <w:szCs w:val="28"/>
        </w:rPr>
        <w:t xml:space="preserve"> от бюджетов других уровней поступили </w:t>
      </w:r>
      <w:r>
        <w:rPr>
          <w:strike w:val="0"/>
          <w:color w:val="000000" w:themeColor="text1"/>
          <w:sz w:val="28"/>
          <w:szCs w:val="28"/>
        </w:rPr>
        <w:t xml:space="preserve">в сумме         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8 176 422,5</w:t>
      </w:r>
      <w:r>
        <w:rPr>
          <w:b/>
          <w:bCs/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</w:t>
      </w:r>
      <w:r>
        <w:rPr>
          <w:strike w:val="0"/>
          <w:color w:val="000000" w:themeColor="text1"/>
          <w:sz w:val="28"/>
          <w:szCs w:val="28"/>
        </w:rPr>
        <w:t xml:space="preserve">б</w:t>
      </w:r>
      <w:r>
        <w:rPr>
          <w:strike w:val="0"/>
          <w:color w:val="000000" w:themeColor="text1"/>
          <w:sz w:val="28"/>
          <w:szCs w:val="28"/>
        </w:rPr>
        <w:t xml:space="preserve">.,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</w:t>
      </w:r>
      <w:r>
        <w:rPr>
          <w:b/>
          <w:bCs/>
          <w:strike w:val="0"/>
          <w:color w:val="000000" w:themeColor="text1"/>
          <w:sz w:val="28"/>
          <w:szCs w:val="28"/>
          <w:highlight w:val="none"/>
        </w:rPr>
        <w:t xml:space="preserve">96,9</w:t>
      </w:r>
      <w:r>
        <w:rPr>
          <w:b/>
          <w:bCs/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  <w:highlight w:val="white"/>
        </w:rPr>
        <w:t xml:space="preserve">%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января-апреля 2025 года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8 436 294,1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               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  <w:highlight w:val="white"/>
        </w:rPr>
        <w:t xml:space="preserve">31,0</w:t>
      </w:r>
      <w:r>
        <w:rPr>
          <w:b/>
          <w:bCs/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strike w:val="0"/>
          <w:color w:val="000000" w:themeColor="text1"/>
          <w:sz w:val="28"/>
          <w:szCs w:val="28"/>
          <w:highlight w:val="white"/>
        </w:rPr>
        <w:t xml:space="preserve">%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к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года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26 384 648,7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</w:t>
      </w:r>
      <w:r>
        <w:rPr>
          <w:strike w:val="0"/>
          <w:color w:val="000000" w:themeColor="text1"/>
          <w:sz w:val="28"/>
          <w:szCs w:val="28"/>
        </w:rPr>
        <w:t xml:space="preserve">уб.).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7 904 026,7</w:t>
      </w:r>
      <w:r>
        <w:rPr>
          <w:strike w:val="0"/>
          <w:color w:val="000000" w:themeColor="text1"/>
          <w:sz w:val="28"/>
          <w:szCs w:val="28"/>
        </w:rPr>
        <w:t xml:space="preserve"> тыс. руб.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Анализ исполнения плана </w:t>
      </w:r>
      <w:r>
        <w:rPr>
          <w:color w:val="000000" w:themeColor="text1"/>
          <w:sz w:val="28"/>
          <w:szCs w:val="28"/>
        </w:rPr>
        <w:t xml:space="preserve">по доходам за </w:t>
      </w:r>
      <w:r>
        <w:rPr>
          <w:color w:val="000000" w:themeColor="text1"/>
          <w:sz w:val="28"/>
          <w:szCs w:val="28"/>
        </w:rPr>
        <w:t xml:space="preserve">январь-апрель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 xml:space="preserve">5 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основным</w:t>
      </w:r>
      <w:r>
        <w:rPr>
          <w:color w:val="000000" w:themeColor="text1"/>
          <w:sz w:val="28"/>
          <w:szCs w:val="28"/>
        </w:rPr>
        <w:t xml:space="preserve"> бюджетообразующим поступлениям выглядит следующим образом: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01.05.2025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4</w:t>
      </w:r>
      <w:r>
        <w:rPr>
          <w:iCs/>
          <w:color w:val="000000" w:themeColor="text1"/>
          <w:sz w:val="28"/>
          <w:szCs w:val="28"/>
          <w:highlight w:val="white"/>
        </w:rPr>
        <w:t xml:space="preserve"> 689</w:t>
      </w:r>
      <w:r>
        <w:rPr>
          <w:iCs/>
          <w:color w:val="000000" w:themeColor="text1"/>
          <w:sz w:val="28"/>
          <w:szCs w:val="28"/>
          <w:highlight w:val="white"/>
        </w:rPr>
        <w:t xml:space="preserve"> 450,3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100,1 % к плану отчетного периода (4 685</w:t>
      </w:r>
      <w:r>
        <w:rPr>
          <w:iCs/>
          <w:color w:val="000000" w:themeColor="text1"/>
          <w:sz w:val="28"/>
          <w:szCs w:val="28"/>
          <w:highlight w:val="white"/>
        </w:rPr>
        <w:t xml:space="preserve"> 309,4 тыс. руб.) и 21,8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</w:t>
      </w:r>
      <w:r>
        <w:rPr>
          <w:color w:val="000000" w:themeColor="text1"/>
          <w:sz w:val="28"/>
          <w:szCs w:val="28"/>
          <w:highlight w:val="white"/>
        </w:rPr>
        <w:t xml:space="preserve">129,2 %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За отчетный период 2025 года сумма возвратов составила 1 140 040,9 тыс. руб.,                </w:t>
      </w:r>
      <w:r>
        <w:rPr>
          <w:color w:val="000000" w:themeColor="text1"/>
          <w:sz w:val="28"/>
          <w:szCs w:val="28"/>
          <w:highlight w:val="white"/>
        </w:rPr>
        <w:t xml:space="preserve">что на 257 464,3 тыс. руб. </w:t>
      </w:r>
      <w:r>
        <w:rPr>
          <w:color w:val="000000" w:themeColor="text1"/>
          <w:sz w:val="28"/>
          <w:szCs w:val="28"/>
          <w:highlight w:val="white"/>
        </w:rPr>
        <w:t xml:space="preserve">или на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29,2 %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больше относительно аналогичного периода прошлого года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7 355,8              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руб., или 61,3 % к плану отчетного периода (12 000,0 тыс. руб.) и 13,9 % к плану года (52 994,3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850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Невыполнение плана обусловлено формированием в настоящее время </w:t>
      </w:r>
      <w:r>
        <w:rPr>
          <w:color w:val="000000" w:themeColor="text1"/>
          <w:sz w:val="28"/>
          <w:szCs w:val="28"/>
          <w:highlight w:val="white"/>
        </w:rPr>
        <w:t xml:space="preserve">единого реестра объектов классификации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b/>
          <w:bCs/>
          <w:iCs/>
          <w:color w:val="000000" w:themeColor="text1"/>
          <w:sz w:val="24"/>
          <w:szCs w:val="24"/>
          <w:highlight w:val="white"/>
        </w:rPr>
        <w:suppressLineNumbers w:val="0"/>
      </w:pPr>
      <w:r>
        <w:rPr>
          <w:b/>
          <w:iCs/>
          <w:color w:val="000000" w:themeColor="text1"/>
          <w:sz w:val="24"/>
          <w:szCs w:val="24"/>
          <w:highlight w:val="white"/>
        </w:rPr>
      </w:r>
      <w:r>
        <w:rPr>
          <w:b/>
          <w:bCs/>
          <w:iCs/>
          <w:color w:val="000000" w:themeColor="text1"/>
          <w:sz w:val="24"/>
          <w:szCs w:val="24"/>
          <w:highlight w:val="white"/>
        </w:rPr>
      </w:r>
      <w:r>
        <w:rPr>
          <w:b/>
          <w:bCs/>
          <w:iCs/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571 255,5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         или 96,6 % к плану отчетного периода (591 600,2 тыс. руб.) и 45,4 % к плану года</w:t>
        <w:br/>
        <w:t xml:space="preserve">(1 259 409,1 тыс. руб.). </w:t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255,6 %.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невыполнение плана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налогообложения,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повлияло</w:t>
      </w:r>
      <w:r>
        <w:rPr>
          <w:iCs/>
          <w:color w:val="000000" w:themeColor="text1"/>
          <w:sz w:val="28"/>
          <w:szCs w:val="28"/>
          <w:highlight w:val="white"/>
        </w:rPr>
        <w:t xml:space="preserve"> снижение поступлений                               от строительных организаций.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18"/>
          <w:szCs w:val="18"/>
          <w:highlight w:val="white"/>
        </w:rPr>
        <w:suppressLineNumbers w:val="0"/>
      </w:pPr>
      <w:r>
        <w:rPr>
          <w:iCs/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18"/>
          <w:szCs w:val="18"/>
          <w:highlight w:val="white"/>
        </w:rPr>
      </w:r>
      <w:r>
        <w:rPr>
          <w:color w:val="000000" w:themeColor="text1"/>
          <w:sz w:val="18"/>
          <w:szCs w:val="18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286 803,8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       или 94,5 % к плану отчетного периода (303 592,3 тыс. руб.) и 46,6 %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</w:t>
        <w:br/>
        <w:t xml:space="preserve">(615 839,4 тыс. руб.). </w:t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105,0 %. 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Неисполнение плана обусловлено ростом количества налогоплательщиков, воспользовавшихся правом уменьшения налога на сумму уплаченных страховых взн</w:t>
      </w:r>
      <w:r>
        <w:rPr>
          <w:iCs/>
          <w:color w:val="000000" w:themeColor="text1"/>
          <w:sz w:val="28"/>
          <w:szCs w:val="28"/>
          <w:highlight w:val="white"/>
        </w:rPr>
        <w:t xml:space="preserve">осов.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поступление составило </w:t>
      </w:r>
      <w:r>
        <w:rPr>
          <w:iCs/>
          <w:color w:val="000000" w:themeColor="text1"/>
          <w:sz w:val="28"/>
          <w:szCs w:val="28"/>
          <w:highlight w:val="white"/>
        </w:rPr>
        <w:t xml:space="preserve">63 742,1               тыс. руб., или 109,1 % к плану отчетного периода (58 400,0 тыс. руб.) и 4,3 % к плану года (1 486 170,1 тыс. руб.).</w:t>
      </w:r>
      <w:r>
        <w:rPr>
          <w:color w:val="000000" w:themeColor="text1"/>
          <w:sz w:val="28"/>
          <w:szCs w:val="28"/>
          <w:highlight w:val="white"/>
        </w:rPr>
        <w:t xml:space="preserve"> П</w:t>
      </w:r>
      <w:r>
        <w:rPr>
          <w:iCs/>
          <w:color w:val="000000" w:themeColor="text1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white"/>
        </w:rPr>
        <w:t xml:space="preserve">увеличились  на 13,6 %.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составило 1 103 902,6</w:t>
      </w:r>
      <w:r>
        <w:rPr>
          <w:color w:val="000000" w:themeColor="text1"/>
          <w:sz w:val="28"/>
          <w:szCs w:val="28"/>
          <w:highlight w:val="white"/>
        </w:rPr>
        <w:t xml:space="preserve">             тыс. руб., что на 3,7 % превышает план отчетного периода </w:t>
      </w:r>
      <w:r>
        <w:rPr>
          <w:iCs/>
          <w:color w:val="000000" w:themeColor="text1"/>
          <w:sz w:val="28"/>
          <w:szCs w:val="28"/>
          <w:highlight w:val="white"/>
        </w:rPr>
        <w:t xml:space="preserve">(1 064 024,0 тыс. руб.)                            и составляет 45,2 % к уточненному плану года 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        в 2,3 раза в связи с </w:t>
      </w:r>
      <w:r>
        <w:rPr>
          <w:iCs/>
          <w:color w:val="000000" w:themeColor="text1"/>
          <w:sz w:val="28"/>
          <w:szCs w:val="28"/>
          <w:highlight w:val="white"/>
        </w:rPr>
        <w:t xml:space="preserve">переносом в 2024 году </w:t>
      </w:r>
      <w:r>
        <w:rPr>
          <w:iCs/>
          <w:color w:val="000000" w:themeColor="text1"/>
          <w:sz w:val="28"/>
          <w:szCs w:val="28"/>
          <w:highlight w:val="white"/>
        </w:rPr>
        <w:t xml:space="preserve">срока уплаты налога с 28 апреля на первый рабочий день мая.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173 093,0 тыс. руб., что в 1,4 раза больше плана отчетного периода (122 748,0 тыс. руб.) и составляет 44,0 % к плану года (393 350,3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в 1,5 раза (на 60 815,6 тыс. руб.), в основном, за счет поступления средств от продажи права на заключение договоров аренды земельных участков на торгах.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99 862,5 тыс. руб., что на 1,4 %</w:t>
      </w:r>
      <w:r>
        <w:rPr>
          <w:color w:val="000000" w:themeColor="text1"/>
          <w:sz w:val="28"/>
          <w:szCs w:val="28"/>
          <w:highlight w:val="white"/>
        </w:rPr>
        <w:t xml:space="preserve"> больше установленного плана отчетного периода (98 500,0             тыс. руб.) и меньше объема аналогичного периода прошлого года н</w:t>
      </w:r>
      <w:r>
        <w:rPr>
          <w:color w:val="000000" w:themeColor="text1"/>
          <w:sz w:val="28"/>
          <w:szCs w:val="28"/>
          <w:highlight w:val="white"/>
        </w:rPr>
        <w:t xml:space="preserve">а 4 333,</w:t>
      </w:r>
      <w:r>
        <w:rPr>
          <w:color w:val="000000" w:themeColor="text1"/>
          <w:sz w:val="28"/>
          <w:szCs w:val="28"/>
          <w:highlight w:val="white"/>
        </w:rPr>
        <w:t xml:space="preserve">8 тыс. руб.</w:t>
      </w:r>
      <w:r>
        <w:rPr>
          <w:color w:val="000000" w:themeColor="text1"/>
          <w:sz w:val="28"/>
          <w:szCs w:val="28"/>
          <w:highlight w:val="white"/>
        </w:rPr>
        <w:t xml:space="preserve">      </w:t>
      </w:r>
      <w:r>
        <w:rPr>
          <w:color w:val="000000" w:themeColor="text1"/>
          <w:sz w:val="28"/>
          <w:szCs w:val="28"/>
          <w:highlight w:val="white"/>
        </w:rPr>
        <w:t xml:space="preserve">В счет погашения задолженности прошлых лет в первом квартале 2025 года поступило 1 770,6 тыс.руб.;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73 230,5 тыс. </w:t>
      </w:r>
      <w:r>
        <w:rPr>
          <w:color w:val="000000" w:themeColor="text1"/>
          <w:sz w:val="28"/>
          <w:szCs w:val="28"/>
          <w:highlight w:val="white"/>
        </w:rPr>
        <w:t xml:space="preserve">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что в 3,0 раза больше плана отчетного периода (24 248,0 тыс. руб.).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еревыполнение, в основном, сложилось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денежных средств по итогам аукци</w:t>
      </w:r>
      <w:r>
        <w:rPr>
          <w:color w:val="000000" w:themeColor="text1"/>
          <w:sz w:val="28"/>
          <w:szCs w:val="28"/>
          <w:highlight w:val="white"/>
        </w:rPr>
        <w:t xml:space="preserve">он</w:t>
      </w:r>
      <w:r>
        <w:rPr>
          <w:color w:val="000000" w:themeColor="text1"/>
          <w:sz w:val="28"/>
          <w:szCs w:val="28"/>
          <w:highlight w:val="white"/>
        </w:rPr>
        <w:t xml:space="preserve">а, на котор</w:t>
      </w:r>
      <w:r>
        <w:rPr>
          <w:color w:val="000000" w:themeColor="text1"/>
          <w:sz w:val="28"/>
          <w:szCs w:val="28"/>
          <w:highlight w:val="white"/>
        </w:rPr>
        <w:t xml:space="preserve">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Промышленной, 135Б               и 135В,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color w:val="000000" w:themeColor="text1"/>
          <w:sz w:val="24"/>
          <w:szCs w:val="24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4"/>
          <w:szCs w:val="24"/>
          <w:highlight w:val="white"/>
        </w:rPr>
      </w:r>
      <w:r>
        <w:rPr>
          <w:b/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35 385,6 тыс. руб., что составляет 154,3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(22 938,6 тыс. руб.) и 20,9 % к плану года (169 383,1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24 606,8 тыс. руб., что на 33,6 %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(18 414,0 тыс. руб.) и больше объема аналогичного периода прошлого года на 9 629,5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обусловлено поступлением оплат  по договорам аренды, заключенным после формирования прогноза поступлений на 2025 год;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10 778,8 тыс. руб., что </w:t>
      </w:r>
      <w:r>
        <w:rPr>
          <w:color w:val="000000" w:themeColor="text1"/>
          <w:sz w:val="28"/>
          <w:szCs w:val="28"/>
          <w:highlight w:val="white"/>
        </w:rPr>
        <w:t xml:space="preserve">в 2,4 раза </w:t>
      </w:r>
      <w:r>
        <w:rPr>
          <w:color w:val="000000" w:themeColor="text1"/>
          <w:sz w:val="28"/>
          <w:szCs w:val="28"/>
          <w:highlight w:val="white"/>
        </w:rPr>
        <w:t xml:space="preserve">больше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(4 524,6 тыс.руб.).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связано с поступлением средств по ранее заключенному договору за 1 и 2 кварталы 2025 года.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26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167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,4 тыс. руб., что составляет 98,4 % от плана отчетного периода (26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600,0 тыс. руб.) и 32,3 %            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97,8 %.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4"/>
          <w:szCs w:val="24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рочие доходы от использования имущества и прав, на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ходящихся     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    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              в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сумме 62 381,4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117,6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(53 052,4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33,6 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185 836,2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- доходы по договорам на размещение рекламных конструкций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33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35</w:t>
      </w:r>
      <w:r>
        <w:rPr>
          <w:color w:val="000000" w:themeColor="text1"/>
          <w:sz w:val="28"/>
          <w:szCs w:val="28"/>
          <w:highlight w:val="white"/>
        </w:rPr>
        <w:t xml:space="preserve">7,7 тыс. руб., или 115,8 % </w:t>
      </w:r>
      <w:r>
        <w:rPr>
          <w:color w:val="000000" w:themeColor="text1"/>
          <w:sz w:val="28"/>
          <w:szCs w:val="28"/>
          <w:highlight w:val="white"/>
        </w:rPr>
        <w:t xml:space="preserve">к плану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(28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81</w:t>
      </w:r>
      <w:r>
        <w:rPr>
          <w:color w:val="000000" w:themeColor="text1"/>
          <w:sz w:val="28"/>
          <w:szCs w:val="28"/>
          <w:highlight w:val="white"/>
        </w:rPr>
        <w:t xml:space="preserve">6,6 тыс. руб.) </w:t>
      </w:r>
      <w:r>
        <w:rPr>
          <w:color w:val="000000" w:themeColor="text1"/>
          <w:sz w:val="28"/>
          <w:szCs w:val="28"/>
          <w:highlight w:val="white"/>
        </w:rPr>
        <w:t xml:space="preserve">и 31,8 % к плану года (104 746,7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 за май 2025 года;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409</w:t>
      </w:r>
      <w:r>
        <w:rPr>
          <w:color w:val="000000" w:themeColor="text1"/>
          <w:sz w:val="28"/>
          <w:szCs w:val="28"/>
          <w:highlight w:val="white"/>
        </w:rPr>
        <w:t xml:space="preserve">,1 тыс. руб., что в 2,5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526</w:t>
      </w:r>
      <w:r>
        <w:rPr>
          <w:color w:val="000000" w:themeColor="text1"/>
          <w:sz w:val="28"/>
          <w:szCs w:val="28"/>
          <w:highlight w:val="white"/>
        </w:rPr>
        <w:t xml:space="preserve">,7 тыс. руб.</w:t>
      </w:r>
      <w:r>
        <w:rPr>
          <w:color w:val="000000" w:themeColor="text1"/>
          <w:sz w:val="28"/>
          <w:szCs w:val="28"/>
          <w:highlight w:val="white"/>
        </w:rPr>
        <w:t xml:space="preserve">)            и составляет 58,0 % к плану года (11 046,9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4"/>
          <w:szCs w:val="24"/>
          <w:highlight w:val="white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4"/>
          <w:szCs w:val="24"/>
          <w:highlight w:val="white"/>
        </w:rPr>
      </w:r>
      <w:r>
        <w:rPr>
          <w:rFonts w:eastAsia="Calibri"/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 </w:t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br/>
        <w:t xml:space="preserve">38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425,6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3,3 раза превышает план отчетного периода (11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732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,8                     тыс. руб.) и </w:t>
      </w:r>
      <w:r>
        <w:rPr>
          <w:color w:val="000000" w:themeColor="text1"/>
          <w:sz w:val="28"/>
          <w:szCs w:val="28"/>
          <w:highlight w:val="white"/>
        </w:rPr>
        <w:t xml:space="preserve">в 1,6 раза </w:t>
      </w:r>
      <w:r>
        <w:rPr>
          <w:color w:val="000000" w:themeColor="text1"/>
          <w:sz w:val="28"/>
          <w:szCs w:val="28"/>
          <w:highlight w:val="white"/>
        </w:rPr>
        <w:t xml:space="preserve">превышает план года (24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461,7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            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3</w:t>
      </w:r>
      <w:r>
        <w:rPr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320,0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3,5 раза превышает план отчетного периода (10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686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,3 тыс. руб.) и </w:t>
      </w:r>
      <w:r>
        <w:rPr>
          <w:color w:val="000000" w:themeColor="text1"/>
          <w:sz w:val="28"/>
          <w:szCs w:val="28"/>
          <w:highlight w:val="white"/>
        </w:rPr>
        <w:t xml:space="preserve">в 1,7 раза </w:t>
      </w:r>
      <w:r>
        <w:rPr>
          <w:color w:val="000000" w:themeColor="text1"/>
          <w:sz w:val="28"/>
          <w:szCs w:val="28"/>
          <w:highlight w:val="white"/>
        </w:rPr>
        <w:t xml:space="preserve">превышает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плана года (</w:t>
      </w:r>
      <w:r>
        <w:rPr>
          <w:color w:val="000000" w:themeColor="text1"/>
          <w:sz w:val="28"/>
          <w:szCs w:val="28"/>
          <w:highlight w:val="white"/>
        </w:rPr>
        <w:t xml:space="preserve">21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373,0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Перевыполнение плана обусловлено перечислениями крупнейших плательщиков по представленным декларациям за 2024 год;</w:t>
      </w:r>
      <w:r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eastAsia="Calibri"/>
          <w:b/>
          <w:bCs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администрируемая управлением по экологии            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105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составляет 105,7 %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плану отчетного периода (1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046,5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35,8 % к плану года (3 088,7 тыс. руб.).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досрочной оплатой по договорам аренды лесного участка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1 779 372,1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102,7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(1 731 987,4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31,7 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5 605 468,0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  <w:tab/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- средства от реализации проездных документов отдельным категориям граждан города Перми,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232 588,1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95,6 %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243 280,7</w:t>
      </w:r>
      <w:r>
        <w:rPr>
          <w:color w:val="000000" w:themeColor="text1"/>
          <w:sz w:val="28"/>
          <w:szCs w:val="28"/>
          <w:highlight w:val="white"/>
        </w:rPr>
        <w:t xml:space="preserve"> тыс. руб.) и 35,6 %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- средства от реализации единых проездных документов,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174 773,0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110,7 %                   к пл</w:t>
      </w:r>
      <w:r>
        <w:rPr>
          <w:color w:val="000000" w:themeColor="text1"/>
          <w:sz w:val="28"/>
          <w:szCs w:val="28"/>
          <w:highlight w:val="white"/>
        </w:rPr>
        <w:t xml:space="preserve">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157 919,4</w:t>
      </w:r>
      <w:r>
        <w:rPr>
          <w:color w:val="000000" w:themeColor="text1"/>
          <w:sz w:val="28"/>
          <w:szCs w:val="28"/>
          <w:highlight w:val="white"/>
        </w:rPr>
        <w:t xml:space="preserve"> тыс. руб.) и 41,3 %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</w:t>
      </w:r>
      <w:r>
        <w:rPr>
          <w:color w:val="000000" w:themeColor="text1"/>
          <w:sz w:val="28"/>
          <w:szCs w:val="28"/>
          <w:highlight w:val="white"/>
        </w:rPr>
        <w:t xml:space="preserve">               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перечисления платы за проезд пассажиров и провоз багажа,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1 345 165,8             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101,2 %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1 329 420,0</w:t>
      </w:r>
      <w:r>
        <w:rPr>
          <w:color w:val="000000" w:themeColor="text1"/>
          <w:sz w:val="28"/>
          <w:szCs w:val="28"/>
          <w:highlight w:val="white"/>
        </w:rPr>
        <w:t xml:space="preserve"> тыс. руб.) и 29,8 %               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101,3 %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от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плана</w:t>
      </w:r>
      <w:r>
        <w:rPr>
          <w:color w:val="000000" w:themeColor="text1"/>
          <w:sz w:val="28"/>
          <w:szCs w:val="28"/>
          <w:highlight w:val="white"/>
        </w:rPr>
        <w:t xml:space="preserve">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white"/>
        </w:rPr>
        <w:t xml:space="preserve">участков, находящихся в государственной            и муниципальной собственности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64 903,6 тыс. руб., что составляет 123,6 % к плану отчетного периода (52 530,0 тыс. руб.) и 32,0 % к плану года (202 788,7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     или муниципальной собственности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размере 25 383,8 тыс. руб., что составляет 124,7 %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от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пла</w:t>
      </w:r>
      <w:r>
        <w:rPr>
          <w:color w:val="000000" w:themeColor="text1"/>
          <w:sz w:val="28"/>
          <w:szCs w:val="28"/>
          <w:highlight w:val="white"/>
        </w:rPr>
        <w:t xml:space="preserve">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(20 350,0 тыс. руб.) и 26,2 % к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уточненному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плану года (96 901,9 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37 372,6 тыс. руб. </w:t>
      </w: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0"/>
          <w:szCs w:val="20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26 806,9 тыс. руб., что в 1,5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(17 956,0 тыс. руб.) и составляет 31,6 %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составили 12,3 %. </w:t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 </w:t>
      </w:r>
      <w:r>
        <w:rPr>
          <w:color w:val="000000" w:themeColor="text1"/>
          <w:sz w:val="28"/>
          <w:szCs w:val="28"/>
          <w:highlight w:val="white"/>
        </w:rPr>
        <w:br/>
        <w:t xml:space="preserve">13 286,9 тыс. руб., что в 1,9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(6</w:t>
      </w:r>
      <w:r>
        <w:rPr>
          <w:color w:val="000000" w:themeColor="text1"/>
          <w:sz w:val="28"/>
          <w:szCs w:val="28"/>
          <w:highlight w:val="white"/>
        </w:rPr>
        <w:t xml:space="preserve"> 826,9</w:t>
      </w:r>
      <w:r>
        <w:rPr>
          <w:color w:val="000000" w:themeColor="text1"/>
          <w:sz w:val="28"/>
          <w:szCs w:val="28"/>
          <w:highlight w:val="white"/>
        </w:rPr>
        <w:t xml:space="preserve"> тыс. руб.) и составляет 29,1 % от уточненного плана года (45 675,1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bCs/>
          <w:color w:val="000000" w:themeColor="text1"/>
          <w:sz w:val="28"/>
          <w:szCs w:val="28"/>
          <w:highlight w:val="white"/>
        </w:rPr>
        <w:t xml:space="preserve">Перевыполнение плана отчетного периода обусловлено реализацией муниципального имущества по цене выше запланированной</w:t>
      </w:r>
      <w:r>
        <w:rPr>
          <w:bCs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ости субъектов Росс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ийской Федерации или в муниципальной собственности и арендуемого субъектами малого и среднего предпринимательства, и о внесении изменений                         в отдельные законодательные акты Российской Федерации», доходы поступили              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13 520,0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(10 828,0 тыс. руб.) и составляет 35,0 % от плана года (38 597,7 тыс. руб.).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выполнение плана отчетного периода обусловлено досрочной оплатой по договорам купли-продажи, заключенным с рассрочкой платежа, и заключением договора купли-продажи с единовременной оплатой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/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0"/>
          <w:szCs w:val="20"/>
          <w:highlight w:val="whit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0"/>
          <w:szCs w:val="20"/>
          <w:highlight w:val="white"/>
        </w:rPr>
      </w:r>
      <w:r>
        <w:rPr>
          <w:rFonts w:eastAsia="Calibri"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Прочие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74 003,4 тыс. руб., что 3,3 раза превышает план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(22 100,0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b w:val="0"/>
          <w:bCs w:val="0"/>
          <w:color w:val="000000" w:themeColor="text1"/>
          <w:sz w:val="28"/>
          <w:szCs w:val="28"/>
          <w:highlight w:val="white"/>
        </w:rPr>
        <w:t xml:space="preserve">составляет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63,8 % к плану года (116 000,6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000000" w:themeColor="text1"/>
          <w:sz w:val="28"/>
          <w:szCs w:val="28"/>
          <w:highlight w:val="white"/>
        </w:rPr>
        <w:t xml:space="preserve">ю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поступила в сумме 11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763,5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3,2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составляет 23,3 %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от плана года (50 550,3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в сфере строительства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м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и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                                      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до раз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администрируемая департаментом земельных отношений администрации города Перми,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               в сумме 23 623,5 тыс. руб.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что в 1,3 раза больше плана отчетного периода (18 400,0 тыс.руб.) и составляет 36,1 % от годового планового задания (65 450,3 тыс. руб.).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spacing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spacing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1088"/>
        <w:numPr>
          <w:ilvl w:val="0"/>
          <w:numId w:val="38"/>
        </w:numPr>
        <w:jc w:val="center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pStyle w:val="1088"/>
        <w:ind w:firstLine="360"/>
        <w:jc w:val="center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приложение 2 </w:t>
      </w:r>
      <w:r>
        <w:rPr>
          <w:color w:val="000000" w:themeColor="text1"/>
          <w:sz w:val="28"/>
          <w:szCs w:val="28"/>
          <w:highlight w:val="white"/>
        </w:rPr>
        <w:t xml:space="preserve">к настоящей записке)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4"/>
          <w:szCs w:val="24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pStyle w:val="1088"/>
        <w:contextualSpacing w:val="0"/>
        <w:ind w:firstLine="709"/>
        <w:jc w:val="both"/>
        <w:spacing w:before="0" w:after="0"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Кассовые расходы бюджета (без учёта зарезервированных средств:                                 на исполнение судебных исков, резервного фонда администрации города) на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 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5 года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</w:t>
      </w:r>
      <w:r>
        <w:rPr>
          <w:color w:val="000000" w:themeColor="text1"/>
          <w:sz w:val="28"/>
          <w:szCs w:val="28"/>
          <w:highlight w:val="white"/>
        </w:rPr>
        <w:t xml:space="preserve">ил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16 795 975,3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руб.,</w:t>
      </w:r>
      <w:r>
        <w:rPr>
          <w:color w:val="000000" w:themeColor="text1"/>
          <w:sz w:val="28"/>
          <w:szCs w:val="28"/>
          <w:highlight w:val="white"/>
        </w:rPr>
        <w:t xml:space="preserve">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94,2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</w:t>
      </w:r>
      <w:r>
        <w:rPr>
          <w:color w:val="000000" w:themeColor="text1"/>
          <w:sz w:val="28"/>
          <w:szCs w:val="28"/>
          <w:highlight w:val="white"/>
        </w:rPr>
        <w:t xml:space="preserve">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17 827 </w:t>
      </w:r>
      <w:r>
        <w:rPr>
          <w:color w:val="000000" w:themeColor="text1"/>
          <w:sz w:val="28"/>
          <w:szCs w:val="28"/>
          <w:highlight w:val="white"/>
        </w:rPr>
        <w:t xml:space="preserve">274,7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25,3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66 337 822,5</w:t>
      </w:r>
      <w:r>
        <w:rPr>
          <w:color w:val="000000" w:themeColor="text1"/>
          <w:sz w:val="28"/>
          <w:szCs w:val="28"/>
          <w:highlight w:val="white"/>
        </w:rPr>
        <w:t xml:space="preserve">             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по расходам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ь-апрель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</w:t>
      </w:r>
      <w:r>
        <w:rPr>
          <w:color w:val="000000" w:themeColor="text1"/>
          <w:sz w:val="28"/>
          <w:szCs w:val="28"/>
          <w:highlight w:val="white"/>
        </w:rPr>
        <w:t xml:space="preserve">од</w:t>
      </w:r>
      <w:r>
        <w:rPr>
          <w:color w:val="000000" w:themeColor="text1"/>
          <w:sz w:val="28"/>
          <w:szCs w:val="28"/>
          <w:highlight w:val="white"/>
        </w:rPr>
        <w:t xml:space="preserve">а составляло </w:t>
      </w:r>
      <w:r>
        <w:rPr>
          <w:color w:val="000000" w:themeColor="text1"/>
          <w:sz w:val="28"/>
          <w:szCs w:val="28"/>
          <w:highlight w:val="white"/>
        </w:rPr>
        <w:t xml:space="preserve">15 130 951,3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тыс.руб.,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ли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94,8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</w:t>
      </w:r>
      <w:r>
        <w:rPr>
          <w:color w:val="000000" w:themeColor="text1"/>
          <w:sz w:val="28"/>
          <w:szCs w:val="28"/>
          <w:highlight w:val="white"/>
        </w:rPr>
        <w:t xml:space="preserve">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27,2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    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т</w:t>
      </w:r>
      <w:r>
        <w:rPr>
          <w:color w:val="000000" w:themeColor="text1"/>
          <w:sz w:val="28"/>
          <w:szCs w:val="28"/>
          <w:highlight w:val="white"/>
        </w:rPr>
        <w:t xml:space="preserve">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938" w:leader="none"/>
        </w:tabs>
        <w:rPr>
          <w:color w:val="000000" w:themeColor="text1"/>
          <w:sz w:val="24"/>
          <w:szCs w:val="24"/>
          <w:highlight w:val="none"/>
        </w:rPr>
        <w:suppressLineNumbers w:val="0"/>
      </w:pP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  <w:t xml:space="preserve">  </w:t>
      </w:r>
      <w:r>
        <w:rPr>
          <w:color w:val="000000" w:themeColor="text1"/>
          <w:sz w:val="24"/>
          <w:szCs w:val="24"/>
          <w:highlight w:val="white"/>
        </w:rPr>
        <w:t xml:space="preserve">  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pStyle w:val="1088"/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</w:t>
      </w:r>
      <w:r>
        <w:rPr>
          <w:color w:val="000000" w:themeColor="text1"/>
          <w:sz w:val="28"/>
          <w:szCs w:val="28"/>
          <w:highlight w:val="white"/>
        </w:rPr>
        <w:t xml:space="preserve">-апрель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5 года в разрезе источников финансирования исполнена следующим образом.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0"/>
          <w:szCs w:val="16"/>
          <w:highlight w:val="white"/>
        </w:rPr>
        <w:suppressLineNumbers w:val="0"/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</w:p>
    <w:p>
      <w:pPr>
        <w:pStyle w:val="1088"/>
        <w:contextualSpacing w:val="0"/>
        <w:ind w:firstLine="709"/>
        <w:jc w:val="both"/>
        <w:spacing w:before="0" w:after="0" w:line="240" w:lineRule="auto"/>
        <w:rPr>
          <w:b/>
          <w:bCs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</w:t>
      </w:r>
      <w:r>
        <w:rPr>
          <w:b/>
          <w:color w:val="000000" w:themeColor="text1"/>
          <w:sz w:val="28"/>
          <w:szCs w:val="28"/>
          <w:highlight w:val="white"/>
        </w:rPr>
        <w:t xml:space="preserve">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составляе</w:t>
      </w:r>
      <w:r>
        <w:rPr>
          <w:color w:val="000000" w:themeColor="text1"/>
          <w:sz w:val="28"/>
          <w:szCs w:val="28"/>
          <w:highlight w:val="white"/>
        </w:rPr>
        <w:t xml:space="preserve">т</w:t>
      </w:r>
      <w:r>
        <w:rPr>
          <w:color w:val="000000" w:themeColor="text1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9 449 687,6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</w:t>
      </w:r>
      <w:r>
        <w:rPr>
          <w:color w:val="000000" w:themeColor="text1"/>
          <w:sz w:val="28"/>
          <w:szCs w:val="28"/>
          <w:highlight w:val="white"/>
        </w:rPr>
        <w:t xml:space="preserve">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92,4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кассового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плана</w:t>
      </w:r>
      <w:r>
        <w:rPr>
          <w:color w:val="000000" w:themeColor="text1"/>
          <w:sz w:val="28"/>
          <w:szCs w:val="28"/>
          <w:highlight w:val="white"/>
        </w:rPr>
        <w:t xml:space="preserve"> отчетного периода –</w:t>
      </w:r>
      <w:r>
        <w:rPr>
          <w:color w:val="000000" w:themeColor="text1"/>
          <w:sz w:val="28"/>
          <w:szCs w:val="28"/>
          <w:highlight w:val="white"/>
        </w:rPr>
        <w:t xml:space="preserve">           </w:t>
      </w:r>
      <w:r>
        <w:rPr>
          <w:color w:val="000000" w:themeColor="text1"/>
          <w:sz w:val="28"/>
          <w:szCs w:val="28"/>
          <w:highlight w:val="white"/>
        </w:rPr>
        <w:t xml:space="preserve">10 224 192,1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</w:t>
      </w:r>
      <w:r>
        <w:rPr>
          <w:color w:val="000000" w:themeColor="text1"/>
          <w:sz w:val="28"/>
          <w:szCs w:val="28"/>
          <w:highlight w:val="white"/>
        </w:rPr>
        <w:t xml:space="preserve">б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23,5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год</w:t>
      </w:r>
      <w:r>
        <w:rPr>
          <w:color w:val="000000" w:themeColor="text1"/>
          <w:sz w:val="28"/>
          <w:szCs w:val="28"/>
          <w:highlight w:val="white"/>
        </w:rPr>
        <w:t xml:space="preserve">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                     за </w:t>
      </w:r>
      <w:r>
        <w:rPr>
          <w:color w:val="000000" w:themeColor="text1"/>
          <w:sz w:val="28"/>
          <w:szCs w:val="28"/>
          <w:highlight w:val="white"/>
        </w:rPr>
        <w:t xml:space="preserve">январь-апрель </w:t>
      </w:r>
      <w:r>
        <w:rPr>
          <w:color w:val="000000" w:themeColor="text1"/>
          <w:sz w:val="28"/>
          <w:szCs w:val="28"/>
          <w:highlight w:val="white"/>
        </w:rPr>
        <w:t xml:space="preserve">2</w:t>
      </w:r>
      <w:r>
        <w:rPr>
          <w:color w:val="000000" w:themeColor="text1"/>
          <w:sz w:val="28"/>
          <w:szCs w:val="28"/>
          <w:highlight w:val="white"/>
        </w:rPr>
        <w:t xml:space="preserve">02</w:t>
      </w:r>
      <w:r>
        <w:rPr>
          <w:color w:val="000000" w:themeColor="text1"/>
          <w:sz w:val="28"/>
          <w:szCs w:val="28"/>
          <w:highlight w:val="white"/>
        </w:rPr>
        <w:t xml:space="preserve">4 </w:t>
      </w:r>
      <w:r>
        <w:rPr>
          <w:color w:val="000000" w:themeColor="text1"/>
          <w:sz w:val="28"/>
          <w:szCs w:val="28"/>
          <w:highlight w:val="white"/>
        </w:rPr>
        <w:t xml:space="preserve">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7 957 557,0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ил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92,6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</w:t>
      </w:r>
      <w:r>
        <w:rPr>
          <w:color w:val="000000" w:themeColor="text1"/>
          <w:sz w:val="28"/>
          <w:szCs w:val="28"/>
          <w:highlight w:val="white"/>
        </w:rPr>
        <w:t xml:space="preserve">ассо</w:t>
      </w:r>
      <w:r>
        <w:rPr>
          <w:color w:val="000000" w:themeColor="text1"/>
          <w:sz w:val="28"/>
          <w:szCs w:val="28"/>
          <w:highlight w:val="white"/>
        </w:rPr>
        <w:t xml:space="preserve">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</w:t>
      </w:r>
      <w:r>
        <w:rPr>
          <w:color w:val="000000" w:themeColor="text1"/>
          <w:sz w:val="28"/>
          <w:szCs w:val="28"/>
          <w:highlight w:val="white"/>
        </w:rPr>
        <w:t xml:space="preserve"> и </w:t>
      </w:r>
      <w:r>
        <w:rPr>
          <w:b/>
          <w:color w:val="000000" w:themeColor="text1"/>
          <w:sz w:val="28"/>
          <w:szCs w:val="28"/>
          <w:highlight w:val="white"/>
        </w:rPr>
        <w:t xml:space="preserve">25,3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</w:t>
      </w:r>
      <w:r>
        <w:rPr>
          <w:color w:val="000000" w:themeColor="text1"/>
          <w:sz w:val="28"/>
          <w:szCs w:val="28"/>
          <w:highlight w:val="white"/>
        </w:rPr>
        <w:t xml:space="preserve">ий. 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</w:t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pStyle w:val="1088"/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bCs/>
          <w:color w:val="000000" w:themeColor="text1"/>
          <w:sz w:val="20"/>
          <w:szCs w:val="20"/>
          <w:highlight w:val="white"/>
        </w:rPr>
        <w:t xml:space="preserve"> </w:t>
      </w:r>
      <w:r>
        <w:rPr>
          <w:b/>
          <w:bCs/>
          <w:color w:val="000000" w:themeColor="text1"/>
          <w:sz w:val="16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pStyle w:val="1088"/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составляет</w:t>
      </w:r>
      <w:r>
        <w:rPr>
          <w:color w:val="000000" w:themeColor="text1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5 334 598,6</w:t>
      </w:r>
      <w:r>
        <w:rPr>
          <w:color w:val="000000" w:themeColor="text1"/>
          <w:sz w:val="28"/>
          <w:szCs w:val="28"/>
          <w:highlight w:val="white"/>
        </w:rPr>
        <w:t xml:space="preserve"> тыс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руб</w:t>
      </w:r>
      <w:r>
        <w:rPr>
          <w:color w:val="000000" w:themeColor="text1"/>
          <w:sz w:val="28"/>
          <w:szCs w:val="28"/>
          <w:highlight w:val="white"/>
        </w:rPr>
        <w:t xml:space="preserve">., </w:t>
      </w:r>
      <w:r>
        <w:rPr>
          <w:color w:val="000000" w:themeColor="text1"/>
          <w:sz w:val="28"/>
          <w:szCs w:val="28"/>
          <w:highlight w:val="white"/>
        </w:rPr>
        <w:t xml:space="preserve">или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95,5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 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      </w:t>
      </w:r>
      <w:r>
        <w:rPr>
          <w:color w:val="000000" w:themeColor="text1"/>
          <w:sz w:val="28"/>
          <w:szCs w:val="28"/>
          <w:highlight w:val="white"/>
        </w:rPr>
        <w:t xml:space="preserve">от кассового плана 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5 587 751,7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руб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31,7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годо</w:t>
      </w:r>
      <w:r>
        <w:rPr>
          <w:color w:val="000000" w:themeColor="text1"/>
          <w:sz w:val="28"/>
          <w:szCs w:val="28"/>
          <w:highlight w:val="white"/>
        </w:rPr>
        <w:t xml:space="preserve">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</w:t>
      </w:r>
      <w:r>
        <w:rPr>
          <w:color w:val="000000" w:themeColor="text1"/>
          <w:sz w:val="28"/>
          <w:szCs w:val="28"/>
          <w:highlight w:val="white"/>
        </w:rPr>
        <w:t xml:space="preserve">январь</w:t>
      </w:r>
      <w:r>
        <w:rPr>
          <w:color w:val="000000" w:themeColor="text1"/>
          <w:sz w:val="28"/>
          <w:szCs w:val="28"/>
          <w:highlight w:val="white"/>
        </w:rPr>
        <w:t xml:space="preserve">-апрель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4 477 001,1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руб., </w:t>
      </w:r>
      <w:r>
        <w:rPr>
          <w:color w:val="000000" w:themeColor="text1"/>
          <w:sz w:val="28"/>
          <w:szCs w:val="28"/>
          <w:highlight w:val="white"/>
        </w:rPr>
        <w:t xml:space="preserve">ил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98,6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от кассового плана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31,2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white"/>
        </w:rPr>
        <w:t xml:space="preserve">от годовых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ind w:firstLine="709"/>
        <w:spacing w:line="240" w:lineRule="atLeast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pStyle w:val="1088"/>
        <w:ind w:firstLine="720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000000" w:themeColor="text1"/>
          <w:sz w:val="28"/>
          <w:szCs w:val="28"/>
          <w:highlight w:val="white"/>
        </w:rPr>
        <w:t xml:space="preserve">кассовое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составляет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2 011 689,2           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99,8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</w:t>
      </w:r>
      <w:r>
        <w:rPr>
          <w:color w:val="000000" w:themeColor="text1"/>
          <w:sz w:val="28"/>
          <w:szCs w:val="28"/>
          <w:highlight w:val="white"/>
        </w:rPr>
        <w:t xml:space="preserve"> периода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2 015 330,8 </w:t>
      </w:r>
      <w:r>
        <w:rPr>
          <w:color w:val="000000" w:themeColor="text1"/>
          <w:sz w:val="28"/>
          <w:szCs w:val="28"/>
          <w:highlight w:val="white"/>
        </w:rPr>
        <w:t xml:space="preserve">тыс. руб.</w:t>
      </w:r>
      <w:r>
        <w:rPr>
          <w:color w:val="000000" w:themeColor="text1"/>
          <w:sz w:val="28"/>
          <w:szCs w:val="28"/>
          <w:highlight w:val="white"/>
        </w:rPr>
        <w:t xml:space="preserve">                      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21,6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г</w:t>
      </w:r>
      <w:r>
        <w:rPr>
          <w:color w:val="000000" w:themeColor="text1"/>
          <w:sz w:val="28"/>
          <w:szCs w:val="28"/>
          <w:highlight w:val="white"/>
        </w:rPr>
        <w:t xml:space="preserve">од</w:t>
      </w:r>
      <w:r>
        <w:rPr>
          <w:color w:val="000000" w:themeColor="text1"/>
          <w:sz w:val="28"/>
          <w:szCs w:val="28"/>
          <w:highlight w:val="white"/>
        </w:rPr>
        <w:t xml:space="preserve">овых </w:t>
      </w:r>
      <w:r>
        <w:rPr>
          <w:color w:val="000000" w:themeColor="text1"/>
          <w:sz w:val="28"/>
          <w:szCs w:val="28"/>
          <w:highlight w:val="white"/>
        </w:rPr>
        <w:t xml:space="preserve">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ь-апрель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 </w:t>
      </w:r>
      <w:r>
        <w:rPr>
          <w:color w:val="000000" w:themeColor="text1"/>
          <w:sz w:val="28"/>
          <w:szCs w:val="28"/>
          <w:highlight w:val="white"/>
        </w:rPr>
        <w:t xml:space="preserve">696 393,2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95,5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27,6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ind w:firstLine="709"/>
        <w:spacing w:line="240" w:lineRule="auto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pStyle w:val="1088"/>
        <w:ind w:firstLine="70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</w:t>
      </w:r>
      <w:r>
        <w:rPr>
          <w:color w:val="000000" w:themeColor="text1"/>
          <w:sz w:val="28"/>
          <w:szCs w:val="28"/>
          <w:highlight w:val="white"/>
        </w:rPr>
        <w:t xml:space="preserve">январь-апрель </w:t>
      </w:r>
      <w:r>
        <w:rPr>
          <w:color w:val="000000" w:themeColor="text1"/>
          <w:sz w:val="28"/>
          <w:szCs w:val="28"/>
          <w:highlight w:val="white"/>
        </w:rPr>
        <w:t xml:space="preserve">2</w:t>
      </w:r>
      <w:r>
        <w:rPr>
          <w:color w:val="000000" w:themeColor="text1"/>
          <w:sz w:val="28"/>
          <w:szCs w:val="28"/>
          <w:highlight w:val="white"/>
        </w:rPr>
        <w:t xml:space="preserve">02</w:t>
      </w:r>
      <w:r>
        <w:rPr>
          <w:color w:val="000000" w:themeColor="text1"/>
          <w:sz w:val="28"/>
          <w:szCs w:val="28"/>
          <w:highlight w:val="white"/>
        </w:rPr>
        <w:t xml:space="preserve">5 года по источникам 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color w:val="000000" w:themeColor="text1"/>
          <w:sz w:val="24"/>
          <w:szCs w:val="24"/>
          <w:highlight w:val="white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1088"/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pStyle w:val="1088"/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об</w:t>
      </w:r>
      <w:r>
        <w:rPr>
          <w:color w:val="000000" w:themeColor="text1"/>
          <w:sz w:val="28"/>
          <w:szCs w:val="28"/>
          <w:highlight w:val="white"/>
        </w:rPr>
        <w:t xml:space="preserve">разования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99,9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99,7 </w:t>
      </w:r>
      <w:r>
        <w:rPr>
          <w:color w:val="000000" w:themeColor="text1"/>
          <w:sz w:val="28"/>
          <w:szCs w:val="28"/>
          <w:highlight w:val="white"/>
        </w:rPr>
        <w:t xml:space="preserve">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9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социальной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</w:t>
      </w:r>
      <w:r>
        <w:rPr>
          <w:color w:val="000000" w:themeColor="text1"/>
          <w:sz w:val="28"/>
          <w:szCs w:val="28"/>
          <w:highlight w:val="white"/>
        </w:rPr>
        <w:t xml:space="preserve"> дорог и благоустройства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98,7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администрацией Индустриального района – на уро</w:t>
      </w:r>
      <w:r>
        <w:rPr>
          <w:color w:val="000000" w:themeColor="text1"/>
          <w:sz w:val="28"/>
          <w:szCs w:val="28"/>
          <w:highlight w:val="white"/>
        </w:rPr>
        <w:t xml:space="preserve">вне </w:t>
      </w:r>
      <w:r>
        <w:rPr>
          <w:color w:val="000000" w:themeColor="text1"/>
          <w:sz w:val="28"/>
          <w:szCs w:val="28"/>
          <w:highlight w:val="white"/>
        </w:rPr>
        <w:t xml:space="preserve">98,6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контрольно-счетная палатой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98,2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9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города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97,8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9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финансов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96,69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культуры и молодежной политики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96,66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0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департаментом градостроительства и архитектуры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на уровне 95,9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администрацией Орджоникидзевского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95,7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left="360" w:firstLine="0"/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0" w:firstLine="0"/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highlight w:val="white"/>
        </w:rPr>
        <w:t xml:space="preserve">администрации Свердловского района –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color w:val="000000" w:themeColor="text1"/>
          <w:sz w:val="28"/>
          <w:highlight w:val="white"/>
        </w:rPr>
        <w:t xml:space="preserve">на уровне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color w:val="000000" w:themeColor="text1"/>
          <w:sz w:val="28"/>
          <w:highlight w:val="white"/>
        </w:rPr>
        <w:t xml:space="preserve">94,3 </w:t>
      </w:r>
      <w:r>
        <w:rPr>
          <w:color w:val="000000" w:themeColor="text1"/>
          <w:sz w:val="28"/>
          <w:highlight w:val="white"/>
        </w:rPr>
        <w:t xml:space="preserve">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9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Пермской городской Думы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93,8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контрольного департамента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92,1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9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департамента</w:t>
      </w:r>
      <w:r>
        <w:rPr>
          <w:color w:val="000000" w:themeColor="text1"/>
          <w:sz w:val="28"/>
          <w:szCs w:val="28"/>
          <w:highlight w:val="white"/>
        </w:rPr>
        <w:t xml:space="preserve"> общественной безопасности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91,3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90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епартамент</w:t>
      </w:r>
      <w:r>
        <w:rPr>
          <w:color w:val="000000" w:themeColor="text1"/>
          <w:sz w:val="28"/>
          <w:szCs w:val="28"/>
          <w:highlight w:val="white"/>
        </w:rPr>
        <w:t xml:space="preserve">а имущественных отношений – </w:t>
      </w:r>
      <w:r>
        <w:rPr>
          <w:color w:val="000000" w:themeColor="text1"/>
          <w:sz w:val="28"/>
          <w:szCs w:val="28"/>
          <w:highlight w:val="white"/>
        </w:rPr>
        <w:t xml:space="preserve">на уровне 90,6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департамента</w:t>
      </w:r>
      <w:r>
        <w:rPr>
          <w:color w:val="000000" w:themeColor="text1"/>
          <w:sz w:val="28"/>
          <w:szCs w:val="28"/>
          <w:highlight w:val="none"/>
        </w:rPr>
        <w:t xml:space="preserve"> транспорта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90,3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Кировского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86,1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а земельных отношений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81,5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1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п. Новые Ляды – на уровне </w:t>
      </w:r>
      <w:r>
        <w:rPr>
          <w:color w:val="000000" w:themeColor="text1"/>
          <w:sz w:val="28"/>
          <w:szCs w:val="28"/>
          <w:highlight w:val="white"/>
        </w:rPr>
        <w:t xml:space="preserve">81,0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Мотовилихинского района – на у</w:t>
      </w:r>
      <w:r>
        <w:rPr>
          <w:color w:val="000000" w:themeColor="text1"/>
          <w:sz w:val="28"/>
          <w:szCs w:val="28"/>
          <w:highlight w:val="white"/>
        </w:rPr>
        <w:t xml:space="preserve">ровне </w:t>
      </w:r>
      <w:r>
        <w:rPr>
          <w:color w:val="000000" w:themeColor="text1"/>
          <w:sz w:val="28"/>
          <w:szCs w:val="28"/>
          <w:highlight w:val="white"/>
        </w:rPr>
        <w:t xml:space="preserve">79,2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Дзержинского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79,0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</w:t>
      </w:r>
      <w:r>
        <w:rPr>
          <w:color w:val="000000" w:themeColor="text1"/>
          <w:sz w:val="28"/>
          <w:szCs w:val="28"/>
          <w:highlight w:val="white"/>
        </w:rPr>
        <w:t xml:space="preserve">я жилищных отношений – на</w:t>
      </w:r>
      <w:r>
        <w:rPr>
          <w:color w:val="000000" w:themeColor="text1"/>
          <w:sz w:val="28"/>
          <w:szCs w:val="28"/>
          <w:highlight w:val="white"/>
        </w:rPr>
        <w:t xml:space="preserve"> уровне </w:t>
      </w:r>
      <w:r>
        <w:rPr>
          <w:color w:val="000000" w:themeColor="text1"/>
          <w:sz w:val="28"/>
          <w:szCs w:val="28"/>
          <w:highlight w:val="white"/>
        </w:rPr>
        <w:t xml:space="preserve">78,4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9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экономики и промышленной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76,4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7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Ленинского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73,4 </w:t>
      </w:r>
      <w:r>
        <w:rPr>
          <w:color w:val="000000" w:themeColor="text1"/>
          <w:sz w:val="28"/>
          <w:szCs w:val="28"/>
          <w:highlight w:val="white"/>
        </w:rPr>
        <w:t xml:space="preserve">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управления капитального строительства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71,5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8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управления по экологии и природопользованию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59,5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епартамента жилищно-коммунального хозяйства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49,7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jc w:val="both"/>
        <w:spacing w:before="0" w:after="0" w:line="240" w:lineRule="auto"/>
        <w:rPr>
          <w:color w:val="000000" w:themeColor="text1"/>
          <w:sz w:val="24"/>
          <w:szCs w:val="24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pStyle w:val="1088"/>
        <w:contextualSpacing w:val="0"/>
        <w:jc w:val="both"/>
        <w:spacing w:before="0" w:after="0" w:line="240" w:lineRule="auto"/>
        <w:tabs>
          <w:tab w:val="num" w:pos="900" w:leader="none"/>
        </w:tabs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         </w:t>
      </w:r>
      <w:r>
        <w:rPr>
          <w:b/>
          <w:color w:val="000000" w:themeColor="text1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tabs>
          <w:tab w:val="num" w:pos="900" w:leader="none"/>
        </w:tabs>
        <w:rPr>
          <w:b/>
          <w:bCs/>
          <w:color w:val="000000" w:themeColor="text1"/>
          <w:sz w:val="16"/>
          <w:szCs w:val="16"/>
        </w:rPr>
        <w:suppressLineNumbers w:val="0"/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</w:p>
    <w:p>
      <w:pPr>
        <w:contextualSpacing w:val="0"/>
        <w:jc w:val="both"/>
        <w:spacing w:before="0" w:after="0" w:line="240" w:lineRule="auto"/>
        <w:tabs>
          <w:tab w:val="num" w:pos="90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</w:rPr>
        <w:tab/>
        <w:tab/>
        <w:t xml:space="preserve">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88"/>
        <w:numPr>
          <w:ilvl w:val="0"/>
          <w:numId w:val="9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жилищно-коммунального хозяйства – н</w:t>
      </w:r>
      <w:r>
        <w:rPr>
          <w:color w:val="000000" w:themeColor="text1"/>
          <w:sz w:val="28"/>
          <w:szCs w:val="28"/>
          <w:highlight w:val="white"/>
        </w:rPr>
        <w:t xml:space="preserve">а уровне </w:t>
      </w:r>
      <w:r>
        <w:rPr>
          <w:color w:val="000000" w:themeColor="text1"/>
          <w:sz w:val="28"/>
          <w:szCs w:val="28"/>
          <w:highlight w:val="white"/>
        </w:rPr>
        <w:t xml:space="preserve">99,6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101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администрацией Орджоникидзевского района – на уровне </w:t>
      </w:r>
      <w:r>
        <w:rPr>
          <w:color w:val="000000" w:themeColor="text1"/>
          <w:sz w:val="28"/>
          <w:szCs w:val="28"/>
        </w:rPr>
        <w:t xml:space="preserve">99,4 </w:t>
      </w:r>
      <w:r>
        <w:rPr>
          <w:color w:val="000000" w:themeColor="text1"/>
          <w:sz w:val="28"/>
          <w:szCs w:val="28"/>
        </w:rPr>
        <w:t xml:space="preserve">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88"/>
        <w:numPr>
          <w:ilvl w:val="0"/>
          <w:numId w:val="81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образования – </w:t>
      </w:r>
      <w:r>
        <w:rPr>
          <w:color w:val="000000" w:themeColor="text1"/>
          <w:sz w:val="28"/>
          <w:szCs w:val="28"/>
        </w:rPr>
        <w:t xml:space="preserve">на уровне </w:t>
      </w:r>
      <w:r>
        <w:rPr>
          <w:color w:val="000000" w:themeColor="text1"/>
          <w:sz w:val="28"/>
          <w:szCs w:val="28"/>
        </w:rPr>
        <w:t xml:space="preserve">99,0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2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записи актов гражданского состояния – </w:t>
      </w:r>
      <w:r>
        <w:rPr>
          <w:color w:val="000000" w:themeColor="text1"/>
          <w:sz w:val="28"/>
          <w:szCs w:val="28"/>
        </w:rPr>
        <w:t xml:space="preserve">на уровне </w:t>
      </w:r>
      <w:r>
        <w:rPr>
          <w:color w:val="000000" w:themeColor="text1"/>
          <w:sz w:val="28"/>
          <w:szCs w:val="28"/>
        </w:rPr>
        <w:t xml:space="preserve">98,6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0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администрацией Кировского района – на уровне </w:t>
      </w:r>
      <w:r>
        <w:rPr>
          <w:color w:val="000000" w:themeColor="text1"/>
          <w:sz w:val="28"/>
          <w:szCs w:val="28"/>
        </w:rPr>
        <w:t xml:space="preserve">96,8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88"/>
        <w:numPr>
          <w:ilvl w:val="0"/>
          <w:numId w:val="81"/>
        </w:num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администрацией</w:t>
      </w:r>
      <w:r>
        <w:rPr>
          <w:color w:val="000000" w:themeColor="text1"/>
          <w:sz w:val="28"/>
          <w:szCs w:val="28"/>
        </w:rPr>
        <w:t xml:space="preserve"> Свердловского района – на уровне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96,2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%;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color w:val="000000" w:themeColor="text1"/>
          <w:sz w:val="16"/>
          <w:szCs w:val="16"/>
          <w:highlight w:val="none"/>
        </w:rPr>
        <w:suppressLineNumbers w:val="0"/>
      </w:pPr>
      <w:r>
        <w:rPr>
          <w:color w:val="000000" w:themeColor="text1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  <w:highlight w:val="none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ниже 95,0 %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9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департамента общественной безо</w:t>
      </w:r>
      <w:r>
        <w:rPr>
          <w:color w:val="000000" w:themeColor="text1"/>
          <w:sz w:val="28"/>
          <w:szCs w:val="28"/>
          <w:highlight w:val="none"/>
        </w:rPr>
        <w:t xml:space="preserve">пасности </w:t>
      </w:r>
      <w:r>
        <w:rPr>
          <w:color w:val="000000" w:themeColor="text1"/>
          <w:sz w:val="28"/>
          <w:szCs w:val="28"/>
          <w:highlight w:val="white"/>
        </w:rPr>
        <w:t xml:space="preserve">– н</w:t>
      </w:r>
      <w:r>
        <w:rPr>
          <w:color w:val="000000" w:themeColor="text1"/>
          <w:sz w:val="28"/>
          <w:szCs w:val="28"/>
          <w:highlight w:val="white"/>
        </w:rPr>
        <w:t xml:space="preserve">а уровне </w:t>
      </w:r>
      <w:r>
        <w:rPr>
          <w:color w:val="000000" w:themeColor="text1"/>
          <w:sz w:val="28"/>
          <w:szCs w:val="28"/>
          <w:highlight w:val="white"/>
        </w:rPr>
        <w:t xml:space="preserve">94,8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10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управления по эк</w:t>
      </w:r>
      <w:r>
        <w:rPr>
          <w:color w:val="000000" w:themeColor="text1"/>
          <w:sz w:val="28"/>
          <w:szCs w:val="28"/>
        </w:rPr>
        <w:t xml:space="preserve">ологии и природопользованию – на уровне </w:t>
      </w:r>
      <w:r>
        <w:rPr>
          <w:color w:val="000000" w:themeColor="text1"/>
          <w:sz w:val="28"/>
          <w:szCs w:val="28"/>
        </w:rPr>
        <w:t xml:space="preserve">93,4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98"/>
        </w:numPr>
        <w:spacing w:line="240" w:lineRule="auto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департамент</w:t>
      </w:r>
      <w:r>
        <w:rPr>
          <w:color w:val="000000" w:themeColor="text1"/>
          <w:sz w:val="28"/>
          <w:szCs w:val="28"/>
        </w:rPr>
        <w:t xml:space="preserve">а социальной политики – на уровне </w:t>
      </w:r>
      <w:r>
        <w:rPr>
          <w:color w:val="000000" w:themeColor="text1"/>
          <w:sz w:val="28"/>
          <w:szCs w:val="28"/>
        </w:rPr>
        <w:t xml:space="preserve">91,0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numPr>
          <w:ilvl w:val="0"/>
          <w:numId w:val="8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  <w:t xml:space="preserve">администрации Индустриального района – на уровне </w:t>
      </w:r>
      <w:r>
        <w:rPr>
          <w:color w:val="000000" w:themeColor="text1"/>
          <w:sz w:val="28"/>
          <w:szCs w:val="28"/>
        </w:rPr>
        <w:t xml:space="preserve">88,6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администрации Мотовилихинского района – на уровне </w:t>
      </w:r>
      <w:r>
        <w:rPr>
          <w:color w:val="000000" w:themeColor="text1"/>
          <w:sz w:val="28"/>
          <w:szCs w:val="28"/>
        </w:rPr>
        <w:t xml:space="preserve">80,9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администрации п. Новые Ляды – на уровне </w:t>
      </w:r>
      <w:r>
        <w:rPr>
          <w:color w:val="000000" w:themeColor="text1"/>
          <w:sz w:val="28"/>
          <w:szCs w:val="28"/>
        </w:rPr>
        <w:t xml:space="preserve">80,5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99"/>
        </w:numPr>
        <w:spacing w:line="240" w:lineRule="auto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администрации Дзержинского района – на уровне </w:t>
      </w:r>
      <w:r>
        <w:rPr>
          <w:color w:val="000000" w:themeColor="text1"/>
          <w:sz w:val="28"/>
          <w:szCs w:val="28"/>
        </w:rPr>
        <w:t xml:space="preserve">80,0 </w:t>
      </w:r>
      <w:r>
        <w:rPr>
          <w:color w:val="000000" w:themeColor="text1"/>
          <w:sz w:val="28"/>
          <w:szCs w:val="28"/>
        </w:rPr>
        <w:t xml:space="preserve">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88"/>
        <w:numPr>
          <w:ilvl w:val="0"/>
          <w:numId w:val="97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департамента дорог и благоустройства – на уровне </w:t>
      </w:r>
      <w:r>
        <w:rPr>
          <w:color w:val="000000" w:themeColor="text1"/>
          <w:sz w:val="28"/>
          <w:szCs w:val="28"/>
        </w:rPr>
        <w:t xml:space="preserve">76,4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7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</w:t>
      </w:r>
      <w:r>
        <w:rPr>
          <w:color w:val="000000" w:themeColor="text1"/>
          <w:sz w:val="28"/>
          <w:szCs w:val="28"/>
          <w:highlight w:val="white"/>
        </w:rPr>
        <w:t xml:space="preserve">я жилищных отношений – на уровне </w:t>
      </w:r>
      <w:r>
        <w:rPr>
          <w:color w:val="000000" w:themeColor="text1"/>
          <w:sz w:val="28"/>
          <w:szCs w:val="28"/>
          <w:highlight w:val="white"/>
        </w:rPr>
        <w:t xml:space="preserve">61,8 </w:t>
      </w:r>
      <w:r>
        <w:rPr>
          <w:color w:val="000000" w:themeColor="text1"/>
          <w:sz w:val="28"/>
          <w:szCs w:val="28"/>
          <w:highlight w:val="white"/>
        </w:rPr>
        <w:t xml:space="preserve">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81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администрации Ленинского района – на уровне </w:t>
      </w:r>
      <w:r>
        <w:rPr>
          <w:color w:val="000000" w:themeColor="text1"/>
          <w:sz w:val="28"/>
          <w:szCs w:val="28"/>
        </w:rPr>
        <w:t xml:space="preserve">59,8 </w:t>
      </w:r>
      <w:r>
        <w:rPr>
          <w:color w:val="000000" w:themeColor="text1"/>
          <w:sz w:val="28"/>
          <w:szCs w:val="28"/>
        </w:rPr>
        <w:t xml:space="preserve">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81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департамента транспорта – на уровне </w:t>
      </w:r>
      <w:r>
        <w:rPr>
          <w:color w:val="000000" w:themeColor="text1"/>
          <w:sz w:val="28"/>
          <w:szCs w:val="28"/>
          <w:highlight w:val="none"/>
        </w:rPr>
        <w:t xml:space="preserve">56,9</w:t>
      </w:r>
      <w:r>
        <w:rPr>
          <w:color w:val="000000" w:themeColor="text1"/>
          <w:sz w:val="28"/>
          <w:szCs w:val="28"/>
          <w:highlight w:val="none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08"/>
        </w:num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контрольного департамент</w:t>
      </w:r>
      <w:r>
        <w:rPr>
          <w:color w:val="000000" w:themeColor="text1"/>
          <w:sz w:val="28"/>
          <w:szCs w:val="28"/>
        </w:rPr>
        <w:t xml:space="preserve">а – на уровне </w:t>
      </w:r>
      <w:r>
        <w:rPr>
          <w:color w:val="000000" w:themeColor="text1"/>
          <w:sz w:val="28"/>
          <w:szCs w:val="28"/>
        </w:rPr>
        <w:t xml:space="preserve">43,0</w:t>
      </w:r>
      <w:r>
        <w:rPr>
          <w:color w:val="000000" w:themeColor="text1"/>
          <w:sz w:val="28"/>
          <w:szCs w:val="28"/>
        </w:rPr>
        <w:t xml:space="preserve"> %.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color w:val="000000" w:themeColor="text1"/>
          <w:sz w:val="24"/>
          <w:szCs w:val="24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1088"/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16"/>
          <w:szCs w:val="16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pStyle w:val="1088"/>
        <w:contextualSpacing w:val="0"/>
        <w:jc w:val="both"/>
        <w:spacing w:before="0" w:after="0"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4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по экологии и природопользованию – н</w:t>
      </w:r>
      <w:r>
        <w:rPr>
          <w:color w:val="000000" w:themeColor="text1"/>
          <w:sz w:val="28"/>
          <w:szCs w:val="28"/>
        </w:rPr>
        <w:t xml:space="preserve">а уровне </w:t>
      </w:r>
      <w:r>
        <w:rPr>
          <w:color w:val="000000" w:themeColor="text1"/>
          <w:sz w:val="28"/>
          <w:szCs w:val="28"/>
        </w:rPr>
        <w:t xml:space="preserve">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10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культуры и молодежной политики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100,0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88"/>
        <w:numPr>
          <w:ilvl w:val="0"/>
          <w:numId w:val="10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образования – на у</w:t>
      </w:r>
      <w:r>
        <w:rPr>
          <w:color w:val="000000" w:themeColor="text1"/>
          <w:sz w:val="28"/>
          <w:szCs w:val="28"/>
        </w:rPr>
        <w:t xml:space="preserve">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5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</w:t>
      </w:r>
      <w:r>
        <w:rPr>
          <w:color w:val="000000" w:themeColor="text1"/>
          <w:sz w:val="28"/>
          <w:szCs w:val="28"/>
          <w:highlight w:val="white"/>
        </w:rPr>
        <w:t xml:space="preserve"> дорог и благоустройства – на уровн</w:t>
      </w:r>
      <w:r>
        <w:rPr>
          <w:color w:val="000000" w:themeColor="text1"/>
          <w:sz w:val="28"/>
          <w:szCs w:val="28"/>
          <w:highlight w:val="white"/>
        </w:rPr>
        <w:t xml:space="preserve">е 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0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департаментом транспорта</w:t>
      </w:r>
      <w:r>
        <w:rPr>
          <w:color w:val="000000" w:themeColor="text1"/>
          <w:sz w:val="28"/>
          <w:szCs w:val="28"/>
        </w:rPr>
        <w:t xml:space="preserve">– на у</w:t>
      </w:r>
      <w:r>
        <w:rPr>
          <w:color w:val="000000" w:themeColor="text1"/>
          <w:sz w:val="28"/>
          <w:szCs w:val="28"/>
        </w:rPr>
        <w:t xml:space="preserve">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9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</w:t>
      </w:r>
      <w:r>
        <w:rPr>
          <w:color w:val="000000" w:themeColor="text1"/>
          <w:sz w:val="28"/>
          <w:szCs w:val="28"/>
        </w:rPr>
        <w:t xml:space="preserve">ом социальной политики – на уровне 100,0 %;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88"/>
        <w:numPr>
          <w:ilvl w:val="0"/>
          <w:numId w:val="103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</w:t>
      </w:r>
      <w:r>
        <w:rPr>
          <w:color w:val="000000" w:themeColor="text1"/>
          <w:sz w:val="28"/>
          <w:szCs w:val="28"/>
        </w:rPr>
        <w:t xml:space="preserve">ем</w:t>
      </w:r>
      <w:r>
        <w:rPr>
          <w:color w:val="000000" w:themeColor="text1"/>
          <w:sz w:val="28"/>
          <w:szCs w:val="28"/>
        </w:rPr>
        <w:t xml:space="preserve"> капитал</w:t>
      </w:r>
      <w:r>
        <w:rPr>
          <w:color w:val="000000" w:themeColor="text1"/>
          <w:sz w:val="28"/>
          <w:szCs w:val="28"/>
        </w:rPr>
        <w:t xml:space="preserve">ьного строительства – на уров</w:t>
      </w:r>
      <w:r>
        <w:rPr>
          <w:color w:val="000000" w:themeColor="text1"/>
          <w:sz w:val="28"/>
          <w:szCs w:val="28"/>
        </w:rPr>
        <w:t xml:space="preserve">не </w:t>
      </w:r>
      <w:r>
        <w:rPr>
          <w:color w:val="000000" w:themeColor="text1"/>
          <w:sz w:val="28"/>
          <w:szCs w:val="28"/>
        </w:rPr>
        <w:t xml:space="preserve">99,4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88"/>
        <w:numPr>
          <w:ilvl w:val="0"/>
          <w:numId w:val="103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жилищных отношений – на уровне </w:t>
      </w:r>
      <w:r>
        <w:rPr>
          <w:color w:val="000000" w:themeColor="text1"/>
          <w:sz w:val="28"/>
          <w:szCs w:val="28"/>
        </w:rPr>
        <w:t xml:space="preserve">95,3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0"/>
          <w:szCs w:val="20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0"/>
          <w:szCs w:val="20"/>
        </w:rPr>
      </w:r>
      <w:r>
        <w:rPr>
          <w:b/>
          <w:bCs/>
          <w:color w:val="000000" w:themeColor="text1"/>
          <w:sz w:val="20"/>
          <w:szCs w:val="20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16"/>
          <w:szCs w:val="20"/>
        </w:rPr>
      </w:r>
      <w:r>
        <w:rPr>
          <w:b/>
          <w:color w:val="000000" w:themeColor="text1"/>
          <w:sz w:val="28"/>
        </w:rPr>
        <w:t xml:space="preserve">  </w:t>
        <w:tab/>
      </w:r>
      <w:r>
        <w:rPr>
          <w:b/>
          <w:color w:val="000000" w:themeColor="text1"/>
          <w:sz w:val="28"/>
          <w:szCs w:val="28"/>
        </w:rPr>
        <w:t xml:space="preserve">ниже 95,</w:t>
      </w:r>
      <w:r>
        <w:rPr>
          <w:b/>
          <w:color w:val="000000" w:themeColor="text1"/>
          <w:sz w:val="28"/>
          <w:szCs w:val="28"/>
        </w:rPr>
        <w:t xml:space="preserve">0 % </w:t>
      </w:r>
      <w:r>
        <w:rPr>
          <w:color w:val="000000" w:themeColor="text1"/>
          <w:sz w:val="28"/>
          <w:szCs w:val="28"/>
        </w:rPr>
        <w:t xml:space="preserve">сложилось исполнение у </w:t>
      </w:r>
      <w:r>
        <w:rPr>
          <w:color w:val="000000" w:themeColor="text1"/>
          <w:sz w:val="28"/>
          <w:szCs w:val="28"/>
          <w:highlight w:val="none"/>
        </w:rPr>
        <w:t xml:space="preserve">департамента общественной безо</w:t>
      </w:r>
      <w:r>
        <w:rPr>
          <w:color w:val="000000" w:themeColor="text1"/>
          <w:sz w:val="28"/>
          <w:szCs w:val="28"/>
          <w:highlight w:val="none"/>
        </w:rPr>
        <w:t xml:space="preserve">пасности </w:t>
      </w:r>
      <w:r>
        <w:rPr>
          <w:color w:val="000000" w:themeColor="text1"/>
          <w:sz w:val="28"/>
          <w:szCs w:val="28"/>
          <w:highlight w:val="white"/>
        </w:rPr>
        <w:t xml:space="preserve">– н</w:t>
      </w:r>
      <w:r>
        <w:rPr>
          <w:color w:val="000000" w:themeColor="text1"/>
          <w:sz w:val="28"/>
          <w:szCs w:val="28"/>
          <w:highlight w:val="white"/>
        </w:rPr>
        <w:t xml:space="preserve">а уровне </w:t>
      </w:r>
      <w:r>
        <w:rPr>
          <w:color w:val="000000" w:themeColor="text1"/>
          <w:sz w:val="28"/>
          <w:szCs w:val="28"/>
          <w:highlight w:val="white"/>
        </w:rPr>
        <w:t xml:space="preserve">90,9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1094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94"/>
      <w:rPr>
        <w:rStyle w:val="1096"/>
        <w:sz w:val="23"/>
        <w:szCs w:val="23"/>
      </w:rPr>
      <w:framePr w:wrap="around" w:vAnchor="text" w:hAnchor="margin" w:xAlign="right" w:y="1"/>
    </w:pPr>
    <w:r>
      <w:rPr>
        <w:rStyle w:val="1096"/>
        <w:sz w:val="23"/>
        <w:szCs w:val="23"/>
      </w:rPr>
      <w:fldChar w:fldCharType="begin"/>
    </w:r>
    <w:r>
      <w:rPr>
        <w:rStyle w:val="1096"/>
        <w:sz w:val="23"/>
        <w:szCs w:val="23"/>
      </w:rPr>
      <w:instrText xml:space="preserve">PAGE  </w:instrText>
    </w:r>
    <w:r>
      <w:rPr>
        <w:rStyle w:val="1096"/>
        <w:sz w:val="23"/>
        <w:szCs w:val="23"/>
      </w:rPr>
      <w:fldChar w:fldCharType="end"/>
    </w:r>
    <w:r>
      <w:rPr>
        <w:rStyle w:val="1096"/>
        <w:sz w:val="23"/>
        <w:szCs w:val="23"/>
      </w:rPr>
    </w:r>
    <w:r>
      <w:rPr>
        <w:rStyle w:val="1096"/>
        <w:sz w:val="23"/>
        <w:szCs w:val="23"/>
      </w:rPr>
    </w:r>
  </w:p>
  <w:p>
    <w:pPr>
      <w:pStyle w:val="1094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31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5"/>
  </w:num>
  <w:num w:numId="10">
    <w:abstractNumId w:val="12"/>
  </w:num>
  <w:num w:numId="11">
    <w:abstractNumId w:val="2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7"/>
  </w:num>
  <w:num w:numId="15">
    <w:abstractNumId w:val="29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3"/>
  </w:num>
  <w:num w:numId="21">
    <w:abstractNumId w:val="20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1"/>
  </w:num>
  <w:num w:numId="27">
    <w:abstractNumId w:val="30"/>
  </w:num>
  <w:num w:numId="28">
    <w:abstractNumId w:val="5"/>
  </w:num>
  <w:num w:numId="29">
    <w:abstractNumId w:val="19"/>
  </w:num>
  <w:num w:numId="30">
    <w:abstractNumId w:val="10"/>
  </w:num>
  <w:num w:numId="31">
    <w:abstractNumId w:val="8"/>
  </w:num>
  <w:num w:numId="32">
    <w:abstractNumId w:val="18"/>
  </w:num>
  <w:num w:numId="33">
    <w:abstractNumId w:val="2"/>
  </w:num>
  <w:num w:numId="34">
    <w:abstractNumId w:val="7"/>
  </w:num>
  <w:num w:numId="35">
    <w:abstractNumId w:val="22"/>
  </w:num>
  <w:num w:numId="36">
    <w:abstractNumId w:val="16"/>
  </w:num>
  <w:num w:numId="37">
    <w:abstractNumId w:val="28"/>
  </w:num>
  <w:num w:numId="38">
    <w:abstractNumId w:val="3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40"/>
  </w:num>
  <w:num w:numId="48">
    <w:abstractNumId w:val="41"/>
  </w:num>
  <w:num w:numId="49">
    <w:abstractNumId w:val="42"/>
  </w:num>
  <w:num w:numId="50">
    <w:abstractNumId w:val="43"/>
  </w:num>
  <w:num w:numId="51">
    <w:abstractNumId w:val="44"/>
  </w:num>
  <w:num w:numId="52">
    <w:abstractNumId w:val="45"/>
  </w:num>
  <w:num w:numId="53">
    <w:abstractNumId w:val="46"/>
  </w:num>
  <w:num w:numId="54">
    <w:abstractNumId w:val="47"/>
  </w:num>
  <w:num w:numId="55">
    <w:abstractNumId w:val="48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53"/>
  </w:num>
  <w:num w:numId="61">
    <w:abstractNumId w:val="54"/>
  </w:num>
  <w:num w:numId="62">
    <w:abstractNumId w:val="55"/>
  </w:num>
  <w:num w:numId="63">
    <w:abstractNumId w:val="56"/>
  </w:num>
  <w:num w:numId="64">
    <w:abstractNumId w:val="57"/>
  </w:num>
  <w:num w:numId="65">
    <w:abstractNumId w:val="58"/>
  </w:num>
  <w:num w:numId="66">
    <w:abstractNumId w:val="59"/>
  </w:num>
  <w:num w:numId="67">
    <w:abstractNumId w:val="60"/>
  </w:num>
  <w:num w:numId="68">
    <w:abstractNumId w:val="61"/>
  </w:num>
  <w:num w:numId="69">
    <w:abstractNumId w:val="62"/>
  </w:num>
  <w:num w:numId="70">
    <w:abstractNumId w:val="63"/>
  </w:num>
  <w:num w:numId="71">
    <w:abstractNumId w:val="64"/>
  </w:num>
  <w:num w:numId="72">
    <w:abstractNumId w:val="65"/>
  </w:num>
  <w:num w:numId="73">
    <w:abstractNumId w:val="66"/>
  </w:num>
  <w:num w:numId="74">
    <w:abstractNumId w:val="67"/>
  </w:num>
  <w:num w:numId="75">
    <w:abstractNumId w:val="68"/>
  </w:num>
  <w:num w:numId="76">
    <w:abstractNumId w:val="69"/>
  </w:num>
  <w:num w:numId="77">
    <w:abstractNumId w:val="70"/>
  </w:num>
  <w:num w:numId="78">
    <w:abstractNumId w:val="71"/>
  </w:num>
  <w:num w:numId="79">
    <w:abstractNumId w:val="72"/>
  </w:num>
  <w:num w:numId="80">
    <w:abstractNumId w:val="73"/>
  </w:num>
  <w:num w:numId="81">
    <w:abstractNumId w:val="74"/>
  </w:num>
  <w:num w:numId="82">
    <w:abstractNumId w:val="75"/>
  </w:num>
  <w:num w:numId="83">
    <w:abstractNumId w:val="76"/>
  </w:num>
  <w:num w:numId="84">
    <w:abstractNumId w:val="77"/>
  </w:num>
  <w:num w:numId="85">
    <w:abstractNumId w:val="78"/>
  </w:num>
  <w:num w:numId="86">
    <w:abstractNumId w:val="79"/>
  </w:num>
  <w:num w:numId="87">
    <w:abstractNumId w:val="80"/>
  </w:num>
  <w:num w:numId="88">
    <w:abstractNumId w:val="81"/>
  </w:num>
  <w:num w:numId="89">
    <w:abstractNumId w:val="82"/>
  </w:num>
  <w:num w:numId="90">
    <w:abstractNumId w:val="83"/>
  </w:num>
  <w:num w:numId="91">
    <w:abstractNumId w:val="84"/>
  </w:num>
  <w:num w:numId="92">
    <w:abstractNumId w:val="85"/>
  </w:num>
  <w:num w:numId="93">
    <w:abstractNumId w:val="86"/>
  </w:num>
  <w:num w:numId="94">
    <w:abstractNumId w:val="87"/>
  </w:num>
  <w:num w:numId="95">
    <w:abstractNumId w:val="88"/>
  </w:num>
  <w:num w:numId="96">
    <w:abstractNumId w:val="89"/>
  </w:num>
  <w:num w:numId="97">
    <w:abstractNumId w:val="90"/>
  </w:num>
  <w:num w:numId="98">
    <w:abstractNumId w:val="91"/>
  </w:num>
  <w:num w:numId="99">
    <w:abstractNumId w:val="92"/>
  </w:num>
  <w:num w:numId="100">
    <w:abstractNumId w:val="93"/>
  </w:num>
  <w:num w:numId="101">
    <w:abstractNumId w:val="94"/>
  </w:num>
  <w:num w:numId="102">
    <w:abstractNumId w:val="95"/>
  </w:num>
  <w:num w:numId="103">
    <w:abstractNumId w:val="96"/>
  </w:num>
  <w:num w:numId="104">
    <w:abstractNumId w:val="97"/>
  </w:num>
  <w:num w:numId="105">
    <w:abstractNumId w:val="98"/>
  </w:num>
  <w:num w:numId="106">
    <w:abstractNumId w:val="99"/>
  </w:num>
  <w:num w:numId="107">
    <w:abstractNumId w:val="100"/>
  </w:num>
  <w:num w:numId="108">
    <w:abstractNumId w:val="101"/>
  </w:num>
  <w:num w:numId="109">
    <w:abstractNumId w:val="102"/>
  </w:num>
  <w:num w:numId="110">
    <w:abstractNumId w:val="103"/>
  </w:num>
  <w:num w:numId="111">
    <w:abstractNumId w:val="1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10">
    <w:name w:val="Heading 1"/>
    <w:basedOn w:val="1088"/>
    <w:next w:val="1088"/>
    <w:link w:val="9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11">
    <w:name w:val="Heading 1 Char"/>
    <w:link w:val="910"/>
    <w:uiPriority w:val="9"/>
    <w:rPr>
      <w:rFonts w:ascii="Arial" w:hAnsi="Arial" w:eastAsia="Arial" w:cs="Arial"/>
      <w:sz w:val="40"/>
      <w:szCs w:val="40"/>
    </w:rPr>
  </w:style>
  <w:style w:type="paragraph" w:styleId="912">
    <w:name w:val="Heading 2"/>
    <w:basedOn w:val="1088"/>
    <w:next w:val="1088"/>
    <w:link w:val="9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13">
    <w:name w:val="Heading 2 Char"/>
    <w:link w:val="912"/>
    <w:uiPriority w:val="9"/>
    <w:rPr>
      <w:rFonts w:ascii="Arial" w:hAnsi="Arial" w:eastAsia="Arial" w:cs="Arial"/>
      <w:sz w:val="34"/>
    </w:rPr>
  </w:style>
  <w:style w:type="paragraph" w:styleId="914">
    <w:name w:val="Heading 3"/>
    <w:basedOn w:val="1088"/>
    <w:next w:val="1088"/>
    <w:link w:val="9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15">
    <w:name w:val="Heading 3 Char"/>
    <w:link w:val="914"/>
    <w:uiPriority w:val="9"/>
    <w:rPr>
      <w:rFonts w:ascii="Arial" w:hAnsi="Arial" w:eastAsia="Arial" w:cs="Arial"/>
      <w:sz w:val="30"/>
      <w:szCs w:val="30"/>
    </w:rPr>
  </w:style>
  <w:style w:type="paragraph" w:styleId="916">
    <w:name w:val="Heading 4"/>
    <w:basedOn w:val="1088"/>
    <w:next w:val="1088"/>
    <w:link w:val="9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17">
    <w:name w:val="Heading 4 Char"/>
    <w:link w:val="916"/>
    <w:uiPriority w:val="9"/>
    <w:rPr>
      <w:rFonts w:ascii="Arial" w:hAnsi="Arial" w:eastAsia="Arial" w:cs="Arial"/>
      <w:b/>
      <w:bCs/>
      <w:sz w:val="26"/>
      <w:szCs w:val="26"/>
    </w:rPr>
  </w:style>
  <w:style w:type="paragraph" w:styleId="918">
    <w:name w:val="Heading 5"/>
    <w:basedOn w:val="1088"/>
    <w:next w:val="1088"/>
    <w:link w:val="9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9">
    <w:name w:val="Heading 5 Char"/>
    <w:link w:val="918"/>
    <w:uiPriority w:val="9"/>
    <w:rPr>
      <w:rFonts w:ascii="Arial" w:hAnsi="Arial" w:eastAsia="Arial" w:cs="Arial"/>
      <w:b/>
      <w:bCs/>
      <w:sz w:val="24"/>
      <w:szCs w:val="24"/>
    </w:rPr>
  </w:style>
  <w:style w:type="paragraph" w:styleId="920">
    <w:name w:val="Heading 6"/>
    <w:basedOn w:val="1088"/>
    <w:next w:val="1088"/>
    <w:link w:val="9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21">
    <w:name w:val="Heading 6 Char"/>
    <w:link w:val="920"/>
    <w:uiPriority w:val="9"/>
    <w:rPr>
      <w:rFonts w:ascii="Arial" w:hAnsi="Arial" w:eastAsia="Arial" w:cs="Arial"/>
      <w:b/>
      <w:bCs/>
      <w:sz w:val="22"/>
      <w:szCs w:val="22"/>
    </w:rPr>
  </w:style>
  <w:style w:type="paragraph" w:styleId="922">
    <w:name w:val="Heading 7"/>
    <w:basedOn w:val="1088"/>
    <w:next w:val="1088"/>
    <w:link w:val="9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23">
    <w:name w:val="Heading 7 Char"/>
    <w:link w:val="9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24">
    <w:name w:val="Heading 8"/>
    <w:basedOn w:val="1088"/>
    <w:next w:val="1088"/>
    <w:link w:val="9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25">
    <w:name w:val="Heading 8 Char"/>
    <w:link w:val="924"/>
    <w:uiPriority w:val="9"/>
    <w:rPr>
      <w:rFonts w:ascii="Arial" w:hAnsi="Arial" w:eastAsia="Arial" w:cs="Arial"/>
      <w:i/>
      <w:iCs/>
      <w:sz w:val="22"/>
      <w:szCs w:val="22"/>
    </w:rPr>
  </w:style>
  <w:style w:type="paragraph" w:styleId="926">
    <w:name w:val="Heading 9"/>
    <w:basedOn w:val="1088"/>
    <w:next w:val="1088"/>
    <w:link w:val="9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27">
    <w:name w:val="Heading 9 Char"/>
    <w:link w:val="926"/>
    <w:uiPriority w:val="9"/>
    <w:rPr>
      <w:rFonts w:ascii="Arial" w:hAnsi="Arial" w:eastAsia="Arial" w:cs="Arial"/>
      <w:i/>
      <w:iCs/>
      <w:sz w:val="21"/>
      <w:szCs w:val="21"/>
    </w:rPr>
  </w:style>
  <w:style w:type="paragraph" w:styleId="928">
    <w:name w:val="List Paragraph"/>
    <w:basedOn w:val="1088"/>
    <w:uiPriority w:val="34"/>
    <w:qFormat/>
    <w:pPr>
      <w:contextualSpacing/>
      <w:ind w:left="720"/>
    </w:pPr>
  </w:style>
  <w:style w:type="paragraph" w:styleId="929">
    <w:name w:val="No Spacing"/>
    <w:uiPriority w:val="1"/>
    <w:qFormat/>
    <w:pPr>
      <w:spacing w:before="0" w:after="0" w:line="240" w:lineRule="auto"/>
    </w:pPr>
  </w:style>
  <w:style w:type="paragraph" w:styleId="930">
    <w:name w:val="Title"/>
    <w:basedOn w:val="1088"/>
    <w:next w:val="1088"/>
    <w:link w:val="9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31">
    <w:name w:val="Title Char"/>
    <w:link w:val="930"/>
    <w:uiPriority w:val="10"/>
    <w:rPr>
      <w:sz w:val="48"/>
      <w:szCs w:val="48"/>
    </w:rPr>
  </w:style>
  <w:style w:type="paragraph" w:styleId="932">
    <w:name w:val="Subtitle"/>
    <w:basedOn w:val="1088"/>
    <w:next w:val="1088"/>
    <w:link w:val="933"/>
    <w:uiPriority w:val="11"/>
    <w:qFormat/>
    <w:pPr>
      <w:spacing w:before="200" w:after="200"/>
    </w:pPr>
    <w:rPr>
      <w:sz w:val="24"/>
      <w:szCs w:val="24"/>
    </w:rPr>
  </w:style>
  <w:style w:type="character" w:styleId="933">
    <w:name w:val="Subtitle Char"/>
    <w:link w:val="932"/>
    <w:uiPriority w:val="11"/>
    <w:rPr>
      <w:sz w:val="24"/>
      <w:szCs w:val="24"/>
    </w:rPr>
  </w:style>
  <w:style w:type="paragraph" w:styleId="934">
    <w:name w:val="Quote"/>
    <w:basedOn w:val="1088"/>
    <w:next w:val="1088"/>
    <w:link w:val="935"/>
    <w:uiPriority w:val="29"/>
    <w:qFormat/>
    <w:pPr>
      <w:ind w:left="720" w:right="720"/>
    </w:pPr>
    <w:rPr>
      <w:i/>
    </w:rPr>
  </w:style>
  <w:style w:type="character" w:styleId="935">
    <w:name w:val="Quote Char"/>
    <w:link w:val="934"/>
    <w:uiPriority w:val="29"/>
    <w:rPr>
      <w:i/>
    </w:rPr>
  </w:style>
  <w:style w:type="paragraph" w:styleId="936">
    <w:name w:val="Intense Quote"/>
    <w:basedOn w:val="1088"/>
    <w:next w:val="1088"/>
    <w:link w:val="9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37">
    <w:name w:val="Intense Quote Char"/>
    <w:link w:val="936"/>
    <w:uiPriority w:val="30"/>
    <w:rPr>
      <w:i/>
    </w:rPr>
  </w:style>
  <w:style w:type="paragraph" w:styleId="938">
    <w:name w:val="Header"/>
    <w:basedOn w:val="1088"/>
    <w:link w:val="9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39">
    <w:name w:val="Header Char"/>
    <w:link w:val="938"/>
    <w:uiPriority w:val="99"/>
  </w:style>
  <w:style w:type="paragraph" w:styleId="940">
    <w:name w:val="Footer"/>
    <w:basedOn w:val="1088"/>
    <w:link w:val="9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41">
    <w:name w:val="Footer Char"/>
    <w:link w:val="940"/>
    <w:uiPriority w:val="99"/>
  </w:style>
  <w:style w:type="paragraph" w:styleId="942">
    <w:name w:val="Caption"/>
    <w:basedOn w:val="1088"/>
    <w:next w:val="1088"/>
    <w:link w:val="9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43">
    <w:name w:val="Caption Char"/>
    <w:basedOn w:val="942"/>
    <w:link w:val="940"/>
    <w:uiPriority w:val="99"/>
  </w:style>
  <w:style w:type="table" w:styleId="9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70">
    <w:name w:val="Hyperlink"/>
    <w:uiPriority w:val="99"/>
    <w:unhideWhenUsed/>
    <w:rPr>
      <w:color w:val="0000ff" w:themeColor="hyperlink"/>
      <w:u w:val="single"/>
    </w:rPr>
  </w:style>
  <w:style w:type="paragraph" w:styleId="1071">
    <w:name w:val="footnote text"/>
    <w:basedOn w:val="1088"/>
    <w:link w:val="1072"/>
    <w:uiPriority w:val="99"/>
    <w:semiHidden/>
    <w:unhideWhenUsed/>
    <w:pPr>
      <w:spacing w:after="40" w:line="240" w:lineRule="auto"/>
    </w:pPr>
    <w:rPr>
      <w:sz w:val="18"/>
    </w:rPr>
  </w:style>
  <w:style w:type="character" w:styleId="1072">
    <w:name w:val="Footnote Text Char"/>
    <w:link w:val="1071"/>
    <w:uiPriority w:val="99"/>
    <w:rPr>
      <w:sz w:val="18"/>
    </w:rPr>
  </w:style>
  <w:style w:type="character" w:styleId="1073">
    <w:name w:val="footnote reference"/>
    <w:uiPriority w:val="99"/>
    <w:unhideWhenUsed/>
    <w:rPr>
      <w:vertAlign w:val="superscript"/>
    </w:rPr>
  </w:style>
  <w:style w:type="paragraph" w:styleId="1074">
    <w:name w:val="endnote text"/>
    <w:basedOn w:val="1088"/>
    <w:link w:val="1075"/>
    <w:uiPriority w:val="99"/>
    <w:semiHidden/>
    <w:unhideWhenUsed/>
    <w:pPr>
      <w:spacing w:after="0" w:line="240" w:lineRule="auto"/>
    </w:pPr>
    <w:rPr>
      <w:sz w:val="20"/>
    </w:rPr>
  </w:style>
  <w:style w:type="character" w:styleId="1075">
    <w:name w:val="Endnote Text Char"/>
    <w:link w:val="1074"/>
    <w:uiPriority w:val="99"/>
    <w:rPr>
      <w:sz w:val="20"/>
    </w:rPr>
  </w:style>
  <w:style w:type="character" w:styleId="1076">
    <w:name w:val="endnote reference"/>
    <w:uiPriority w:val="99"/>
    <w:semiHidden/>
    <w:unhideWhenUsed/>
    <w:rPr>
      <w:vertAlign w:val="superscript"/>
    </w:rPr>
  </w:style>
  <w:style w:type="paragraph" w:styleId="1077">
    <w:name w:val="toc 1"/>
    <w:basedOn w:val="1088"/>
    <w:next w:val="1088"/>
    <w:uiPriority w:val="39"/>
    <w:unhideWhenUsed/>
    <w:pPr>
      <w:ind w:left="0" w:right="0" w:firstLine="0"/>
      <w:spacing w:after="57"/>
    </w:pPr>
  </w:style>
  <w:style w:type="paragraph" w:styleId="1078">
    <w:name w:val="toc 2"/>
    <w:basedOn w:val="1088"/>
    <w:next w:val="1088"/>
    <w:uiPriority w:val="39"/>
    <w:unhideWhenUsed/>
    <w:pPr>
      <w:ind w:left="283" w:right="0" w:firstLine="0"/>
      <w:spacing w:after="57"/>
    </w:pPr>
  </w:style>
  <w:style w:type="paragraph" w:styleId="1079">
    <w:name w:val="toc 3"/>
    <w:basedOn w:val="1088"/>
    <w:next w:val="1088"/>
    <w:uiPriority w:val="39"/>
    <w:unhideWhenUsed/>
    <w:pPr>
      <w:ind w:left="567" w:right="0" w:firstLine="0"/>
      <w:spacing w:after="57"/>
    </w:pPr>
  </w:style>
  <w:style w:type="paragraph" w:styleId="1080">
    <w:name w:val="toc 4"/>
    <w:basedOn w:val="1088"/>
    <w:next w:val="1088"/>
    <w:uiPriority w:val="39"/>
    <w:unhideWhenUsed/>
    <w:pPr>
      <w:ind w:left="850" w:right="0" w:firstLine="0"/>
      <w:spacing w:after="57"/>
    </w:pPr>
  </w:style>
  <w:style w:type="paragraph" w:styleId="1081">
    <w:name w:val="toc 5"/>
    <w:basedOn w:val="1088"/>
    <w:next w:val="1088"/>
    <w:uiPriority w:val="39"/>
    <w:unhideWhenUsed/>
    <w:pPr>
      <w:ind w:left="1134" w:right="0" w:firstLine="0"/>
      <w:spacing w:after="57"/>
    </w:pPr>
  </w:style>
  <w:style w:type="paragraph" w:styleId="1082">
    <w:name w:val="toc 6"/>
    <w:basedOn w:val="1088"/>
    <w:next w:val="1088"/>
    <w:uiPriority w:val="39"/>
    <w:unhideWhenUsed/>
    <w:pPr>
      <w:ind w:left="1417" w:right="0" w:firstLine="0"/>
      <w:spacing w:after="57"/>
    </w:pPr>
  </w:style>
  <w:style w:type="paragraph" w:styleId="1083">
    <w:name w:val="toc 7"/>
    <w:basedOn w:val="1088"/>
    <w:next w:val="1088"/>
    <w:uiPriority w:val="39"/>
    <w:unhideWhenUsed/>
    <w:pPr>
      <w:ind w:left="1701" w:right="0" w:firstLine="0"/>
      <w:spacing w:after="57"/>
    </w:pPr>
  </w:style>
  <w:style w:type="paragraph" w:styleId="1084">
    <w:name w:val="toc 8"/>
    <w:basedOn w:val="1088"/>
    <w:next w:val="1088"/>
    <w:uiPriority w:val="39"/>
    <w:unhideWhenUsed/>
    <w:pPr>
      <w:ind w:left="1984" w:right="0" w:firstLine="0"/>
      <w:spacing w:after="57"/>
    </w:pPr>
  </w:style>
  <w:style w:type="paragraph" w:styleId="1085">
    <w:name w:val="toc 9"/>
    <w:basedOn w:val="1088"/>
    <w:next w:val="1088"/>
    <w:uiPriority w:val="39"/>
    <w:unhideWhenUsed/>
    <w:pPr>
      <w:ind w:left="2268" w:right="0" w:firstLine="0"/>
      <w:spacing w:after="57"/>
    </w:pPr>
  </w:style>
  <w:style w:type="paragraph" w:styleId="1086">
    <w:name w:val="TOC Heading"/>
    <w:uiPriority w:val="39"/>
    <w:unhideWhenUsed/>
  </w:style>
  <w:style w:type="paragraph" w:styleId="1087">
    <w:name w:val="table of figures"/>
    <w:basedOn w:val="1088"/>
    <w:next w:val="1088"/>
    <w:uiPriority w:val="99"/>
    <w:unhideWhenUsed/>
    <w:pPr>
      <w:spacing w:after="0" w:afterAutospacing="0"/>
    </w:pPr>
  </w:style>
  <w:style w:type="paragraph" w:styleId="1088" w:default="1">
    <w:name w:val="Normal"/>
    <w:next w:val="1088"/>
    <w:link w:val="1088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1089">
    <w:name w:val="Основной шрифт абзаца"/>
    <w:next w:val="1089"/>
    <w:link w:val="1088"/>
    <w:uiPriority w:val="1"/>
    <w:unhideWhenUsed/>
  </w:style>
  <w:style w:type="table" w:styleId="1090">
    <w:name w:val="Обычная таблица"/>
    <w:next w:val="1090"/>
    <w:link w:val="1088"/>
    <w:uiPriority w:val="99"/>
    <w:semiHidden/>
    <w:unhideWhenUsed/>
    <w:qFormat/>
    <w:tblPr/>
  </w:style>
  <w:style w:type="numbering" w:styleId="1091">
    <w:name w:val="Нет списка"/>
    <w:next w:val="1091"/>
    <w:link w:val="1088"/>
    <w:uiPriority w:val="99"/>
    <w:semiHidden/>
    <w:unhideWhenUsed/>
  </w:style>
  <w:style w:type="paragraph" w:styleId="1092">
    <w:name w:val="Основной текст с отступом"/>
    <w:basedOn w:val="1088"/>
    <w:next w:val="1092"/>
    <w:link w:val="1093"/>
    <w:pPr>
      <w:ind w:firstLine="720"/>
      <w:spacing w:line="360" w:lineRule="auto"/>
    </w:pPr>
    <w:rPr>
      <w:sz w:val="28"/>
      <w:szCs w:val="20"/>
      <w:lang w:val="en-US"/>
    </w:rPr>
  </w:style>
  <w:style w:type="character" w:styleId="1093">
    <w:name w:val="Основной текст с отступом Знак"/>
    <w:next w:val="1093"/>
    <w:link w:val="109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94">
    <w:name w:val="Нижний колонтитул"/>
    <w:basedOn w:val="1088"/>
    <w:next w:val="1094"/>
    <w:link w:val="1095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095">
    <w:name w:val="Нижний колонтитул Знак"/>
    <w:next w:val="1095"/>
    <w:link w:val="109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96">
    <w:name w:val="Номер страницы"/>
    <w:basedOn w:val="1089"/>
    <w:next w:val="1096"/>
    <w:link w:val="1088"/>
  </w:style>
  <w:style w:type="paragraph" w:styleId="1097">
    <w:name w:val="Основной текст с отступом 2"/>
    <w:basedOn w:val="1088"/>
    <w:next w:val="1097"/>
    <w:link w:val="1098"/>
    <w:pPr>
      <w:ind w:firstLine="720"/>
    </w:pPr>
    <w:rPr>
      <w:b/>
      <w:sz w:val="32"/>
      <w:szCs w:val="32"/>
      <w:lang w:val="en-US"/>
    </w:rPr>
  </w:style>
  <w:style w:type="character" w:styleId="1098">
    <w:name w:val="Основной текст с отступом 2 Знак"/>
    <w:next w:val="1098"/>
    <w:link w:val="1097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99">
    <w:name w:val="Абзац списка"/>
    <w:basedOn w:val="1088"/>
    <w:next w:val="1099"/>
    <w:link w:val="1088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1100">
    <w:name w:val="Текст выноски"/>
    <w:basedOn w:val="1088"/>
    <w:next w:val="1100"/>
    <w:link w:val="1101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101">
    <w:name w:val="Текст выноски Знак"/>
    <w:next w:val="1101"/>
    <w:link w:val="110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102">
    <w:name w:val="Верхний колонтитул, Знак"/>
    <w:basedOn w:val="1088"/>
    <w:next w:val="1102"/>
    <w:link w:val="1103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103">
    <w:name w:val="Верхний колонтитул Знак, Знак Знак1"/>
    <w:next w:val="1103"/>
    <w:link w:val="1102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4">
    <w:name w:val="Основной текст"/>
    <w:basedOn w:val="1088"/>
    <w:next w:val="1104"/>
    <w:link w:val="1105"/>
    <w:uiPriority w:val="99"/>
    <w:unhideWhenUsed/>
    <w:pPr>
      <w:spacing w:after="120"/>
    </w:pPr>
  </w:style>
  <w:style w:type="character" w:styleId="1105">
    <w:name w:val="Основной текст Знак"/>
    <w:next w:val="1105"/>
    <w:link w:val="1104"/>
    <w:uiPriority w:val="99"/>
    <w:rPr>
      <w:rFonts w:ascii="Times New Roman" w:hAnsi="Times New Roman" w:eastAsia="Times New Roman"/>
      <w:sz w:val="24"/>
      <w:szCs w:val="24"/>
    </w:rPr>
  </w:style>
  <w:style w:type="paragraph" w:styleId="1106">
    <w:name w:val="Исполнитель"/>
    <w:basedOn w:val="1104"/>
    <w:next w:val="1106"/>
    <w:link w:val="1088"/>
    <w:pPr>
      <w:jc w:val="left"/>
      <w:spacing w:line="240" w:lineRule="exact"/>
      <w:widowControl/>
    </w:pPr>
    <w:rPr>
      <w:szCs w:val="20"/>
    </w:rPr>
  </w:style>
  <w:style w:type="character" w:styleId="1107" w:default="1">
    <w:name w:val="Default Paragraph Font"/>
    <w:uiPriority w:val="1"/>
    <w:semiHidden/>
    <w:unhideWhenUsed/>
  </w:style>
  <w:style w:type="numbering" w:styleId="1108" w:default="1">
    <w:name w:val="No List"/>
    <w:uiPriority w:val="99"/>
    <w:semiHidden/>
    <w:unhideWhenUsed/>
  </w:style>
  <w:style w:type="table" w:styleId="11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4408</cp:revision>
  <dcterms:created xsi:type="dcterms:W3CDTF">2022-06-10T10:27:00Z</dcterms:created>
  <dcterms:modified xsi:type="dcterms:W3CDTF">2025-05-14T11:34:48Z</dcterms:modified>
  <cp:version>983040</cp:version>
</cp:coreProperties>
</file>