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bCs/>
          <w:caps/>
          <w:color w:val="000000" w:themeColor="text1"/>
          <w:sz w:val="28"/>
          <w:szCs w:val="28"/>
        </w:rPr>
      </w:pP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города Перми на 1 ИЮНЯ 2025 года 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16"/>
          <w:szCs w:val="16"/>
        </w:rPr>
      </w:pPr>
      <w:r>
        <w:rPr>
          <w:b/>
          <w:caps/>
          <w:color w:val="000000" w:themeColor="text1"/>
          <w:sz w:val="16"/>
          <w:szCs w:val="16"/>
        </w:rPr>
      </w:r>
      <w:r>
        <w:rPr>
          <w:b/>
          <w:caps/>
          <w:color w:val="000000" w:themeColor="text1"/>
          <w:sz w:val="16"/>
          <w:szCs w:val="16"/>
        </w:rPr>
      </w:r>
      <w:r>
        <w:rPr>
          <w:b/>
          <w:caps/>
          <w:color w:val="000000" w:themeColor="text1"/>
          <w:sz w:val="16"/>
          <w:szCs w:val="16"/>
        </w:rPr>
      </w:r>
    </w:p>
    <w:p>
      <w:pPr>
        <w:jc w:val="center"/>
        <w:spacing w:line="240" w:lineRule="auto"/>
        <w:rPr>
          <w:b/>
          <w:caps/>
          <w:color w:val="000000" w:themeColor="text1"/>
          <w:sz w:val="32"/>
          <w:szCs w:val="32"/>
        </w:rPr>
      </w:pPr>
      <w:r>
        <w:rPr>
          <w:b/>
          <w:caps/>
          <w:color w:val="000000" w:themeColor="text1"/>
          <w:sz w:val="32"/>
          <w:szCs w:val="32"/>
        </w:rPr>
        <w:t xml:space="preserve">пояснительная записка</w:t>
      </w:r>
      <w:r>
        <w:rPr>
          <w:b/>
          <w:caps/>
          <w:color w:val="000000" w:themeColor="text1"/>
          <w:sz w:val="32"/>
          <w:szCs w:val="32"/>
        </w:rPr>
      </w:r>
      <w:r>
        <w:rPr>
          <w:b/>
          <w:caps/>
          <w:color w:val="000000" w:themeColor="text1"/>
          <w:sz w:val="32"/>
          <w:szCs w:val="32"/>
        </w:rPr>
      </w:r>
    </w:p>
    <w:p>
      <w:pPr>
        <w:ind w:firstLine="567"/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567"/>
        <w:spacing w:line="24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Исполнение бюджета города Перми по состоянию на 1 июня 2025 года                     по оперативным данным характеризуется следующими показателями: </w:t>
      </w:r>
      <w:r>
        <w:rPr>
          <w:color w:val="000000" w:themeColor="text1"/>
          <w:sz w:val="16"/>
          <w:szCs w:val="16"/>
        </w:rPr>
        <w:tab/>
      </w:r>
      <w:r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16"/>
          <w:szCs w:val="16"/>
        </w:rPr>
        <w:tab/>
      </w:r>
      <w:r>
        <w:rPr>
          <w:b/>
          <w:color w:val="000000" w:themeColor="text1"/>
          <w:sz w:val="28"/>
          <w:szCs w:val="28"/>
        </w:rPr>
        <w:t xml:space="preserve">по доходам </w:t>
      </w:r>
      <w:r>
        <w:rPr>
          <w:b/>
          <w:bCs/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 xml:space="preserve">в </w:t>
      </w:r>
      <w:r>
        <w:rPr>
          <w:sz w:val="28"/>
          <w:szCs w:val="28"/>
        </w:rPr>
        <w:t xml:space="preserve">сумме </w:t>
      </w:r>
      <w:r>
        <w:rPr>
          <w:b/>
          <w:sz w:val="28"/>
          <w:szCs w:val="28"/>
        </w:rPr>
        <w:t xml:space="preserve">22 532 930,8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</w:t>
      </w:r>
      <w:r>
        <w:rPr>
          <w:color w:val="000000" w:themeColor="text1"/>
          <w:sz w:val="28"/>
          <w:szCs w:val="28"/>
        </w:rPr>
        <w:t xml:space="preserve">б.</w:t>
      </w:r>
      <w:r>
        <w:rPr>
          <w:b/>
          <w:color w:val="000000" w:themeColor="text1"/>
          <w:sz w:val="28"/>
          <w:szCs w:val="28"/>
        </w:rPr>
        <w:t xml:space="preserve">, </w:t>
      </w:r>
      <w:r>
        <w:rPr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10</w:t>
      </w:r>
      <w:r>
        <w:rPr>
          <w:b/>
          <w:sz w:val="28"/>
          <w:szCs w:val="28"/>
        </w:rPr>
        <w:t xml:space="preserve">1,3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плана</w:t>
      </w:r>
      <w:r>
        <w:t xml:space="preserve"> </w:t>
      </w:r>
      <w:r>
        <w:rPr>
          <w:sz w:val="28"/>
          <w:szCs w:val="28"/>
        </w:rPr>
        <w:t xml:space="preserve">января-</w:t>
      </w:r>
      <w:r>
        <w:rPr>
          <w:color w:val="000000" w:themeColor="text1"/>
          <w:sz w:val="28"/>
          <w:szCs w:val="28"/>
        </w:rPr>
        <w:t xml:space="preserve">мая 2025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года (</w:t>
      </w:r>
      <w:r>
        <w:rPr>
          <w:color w:val="000000"/>
          <w:sz w:val="28"/>
          <w:szCs w:val="28"/>
        </w:rPr>
        <w:t xml:space="preserve">22 234 460,3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 </w:t>
      </w:r>
      <w:r>
        <w:rPr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36,4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уточненного</w:t>
      </w:r>
      <w:r>
        <w:rPr>
          <w:color w:val="000000" w:themeColor="text1"/>
          <w:sz w:val="28"/>
          <w:szCs w:val="28"/>
        </w:rPr>
        <w:t xml:space="preserve"> годового плана                             </w:t>
      </w:r>
      <w:r>
        <w:rPr>
          <w:color w:val="000000" w:themeColor="text1"/>
          <w:sz w:val="28"/>
          <w:szCs w:val="28"/>
        </w:rPr>
        <w:t xml:space="preserve">   (</w:t>
      </w:r>
      <w:r>
        <w:rPr>
          <w:color w:val="000000"/>
          <w:sz w:val="28"/>
          <w:szCs w:val="28"/>
        </w:rPr>
        <w:t xml:space="preserve">61 887 168,3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руб.).  За аналогичный период прошлого года поступления доходов составляли </w:t>
      </w:r>
      <w:r>
        <w:rPr>
          <w:color w:val="000000"/>
          <w:sz w:val="28"/>
          <w:szCs w:val="28"/>
        </w:rPr>
        <w:t xml:space="preserve">20 840 256,1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67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Анализ поступления доходов бюджета за январь-май 2024 и 2025 годов приведен 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в следующей таблице: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567"/>
        <w:spacing w:line="240" w:lineRule="atLeast"/>
        <w:rPr>
          <w:color w:val="000000" w:themeColor="text1"/>
          <w:sz w:val="16"/>
          <w:szCs w:val="16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567"/>
        <w:jc w:val="right"/>
        <w:spacing w:line="240" w:lineRule="atLeast"/>
        <w:rPr>
          <w:color w:val="000000" w:themeColor="text1"/>
          <w:sz w:val="20"/>
          <w:szCs w:val="18"/>
        </w:rPr>
      </w:pPr>
      <w:r>
        <w:rPr>
          <w:color w:val="000000" w:themeColor="text1"/>
          <w:sz w:val="32"/>
          <w:szCs w:val="28"/>
        </w:rPr>
        <w:t xml:space="preserve">   </w:t>
      </w:r>
      <w:r>
        <w:rPr>
          <w:color w:val="000000" w:themeColor="text1"/>
          <w:sz w:val="20"/>
          <w:szCs w:val="18"/>
        </w:rPr>
        <w:t xml:space="preserve">  (</w:t>
      </w:r>
      <w:r>
        <w:rPr>
          <w:color w:val="000000" w:themeColor="text1"/>
          <w:sz w:val="20"/>
          <w:szCs w:val="18"/>
        </w:rPr>
        <w:t xml:space="preserve">тыс.руб</w:t>
      </w:r>
      <w:r>
        <w:rPr>
          <w:color w:val="000000" w:themeColor="text1"/>
          <w:sz w:val="20"/>
          <w:szCs w:val="18"/>
        </w:rPr>
        <w:t xml:space="preserve">.)</w:t>
      </w:r>
      <w:r>
        <w:rPr>
          <w:color w:val="000000" w:themeColor="text1"/>
          <w:sz w:val="20"/>
          <w:szCs w:val="18"/>
        </w:rPr>
      </w:r>
      <w:r>
        <w:rPr>
          <w:color w:val="000000" w:themeColor="text1"/>
          <w:sz w:val="20"/>
          <w:szCs w:val="18"/>
        </w:rPr>
      </w:r>
    </w:p>
    <w:tbl>
      <w:tblPr>
        <w:tblW w:w="106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51"/>
        <w:gridCol w:w="1701"/>
        <w:gridCol w:w="1701"/>
        <w:gridCol w:w="1461"/>
        <w:gridCol w:w="1418"/>
      </w:tblGrid>
      <w:tr>
        <w:tblPrEx/>
        <w:trPr>
          <w:jc w:val="center"/>
          <w:trHeight w:val="987"/>
        </w:trPr>
        <w:tc>
          <w:tcPr>
            <w:tcBorders>
              <w:bottom w:val="single" w:color="000000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Наименование показателя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2"/>
              </w:rPr>
              <w:t xml:space="preserve">Факт на 01.06.2024 </w:t>
            </w:r>
            <w:r>
              <w:rPr>
                <w:color w:val="000000" w:themeColor="text1"/>
                <w:sz w:val="20"/>
              </w:rPr>
            </w:r>
            <w:r>
              <w:rPr>
                <w:color w:val="000000" w:themeColor="text1"/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2"/>
              </w:rPr>
              <w:t xml:space="preserve">Факт на 01.06.2025 </w:t>
            </w:r>
            <w:r>
              <w:rPr>
                <w:color w:val="000000" w:themeColor="text1"/>
                <w:sz w:val="20"/>
              </w:rPr>
            </w:r>
            <w:r>
              <w:rPr>
                <w:color w:val="000000" w:themeColor="text1"/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Отклонение поступлений 2025 года от 2024 года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Отношение поступлений 2025 года к 2024 году, %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jc w:val="center"/>
          <w:trHeight w:val="29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Налоговые и неналоговые доходы, 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10 643 181,0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11 773 079,9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1 129 898,9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110,6%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98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7 195 281,6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8 660 462,8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1 465 181,2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120,4%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295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3 447 899,4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3 112 617,1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-335 282,3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90,3%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56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10 197 075,1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10 759 850,9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562 775,8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105,5%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  <w:trHeight w:val="33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bottom"/>
            <w:textDirection w:val="lrTb"/>
            <w:noWrap w:val="false"/>
          </w:tcPr>
          <w:p>
            <w:pPr>
              <w:jc w:val="left"/>
              <w:spacing w:line="240" w:lineRule="atLeas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Всего доходов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spacing w:line="240" w:lineRule="atLeast"/>
              <w:rPr>
                <w:szCs w:val="28"/>
              </w:rPr>
            </w:pPr>
            <w:r>
              <w:rPr>
                <w:b/>
              </w:rPr>
              <w:t xml:space="preserve">20 840 256,1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spacing w:line="240" w:lineRule="atLeast"/>
              <w:rPr>
                <w:szCs w:val="28"/>
              </w:rPr>
            </w:pPr>
            <w:r>
              <w:rPr>
                <w:b/>
              </w:rPr>
              <w:t xml:space="preserve">22 532 930,8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bottom"/>
            <w:textDirection w:val="lrTb"/>
            <w:noWrap/>
          </w:tcPr>
          <w:p>
            <w:pPr>
              <w:jc w:val="center"/>
              <w:spacing w:line="240" w:lineRule="atLeast"/>
              <w:rPr>
                <w:szCs w:val="28"/>
              </w:rPr>
            </w:pPr>
            <w:r>
              <w:rPr>
                <w:b/>
              </w:rPr>
              <w:t xml:space="preserve">1 692 674,7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spacing w:line="240" w:lineRule="atLeast"/>
              <w:rPr>
                <w:szCs w:val="28"/>
              </w:rPr>
            </w:pPr>
            <w:r>
              <w:rPr>
                <w:b/>
              </w:rPr>
              <w:t xml:space="preserve">108,1%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spacing w:line="240" w:lineRule="atLeast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связи с изменениями с 2025 года норматива зачисления налога на доходы физических лиц, в настоящем анализе объем доходов бюджета 2024 года приведен                   в сопоставимые условия (норматив по НДФЛ – 30,0 %).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 расходам</w:t>
      </w:r>
      <w:r>
        <w:rPr>
          <w:color w:val="000000" w:themeColor="text1"/>
          <w:sz w:val="28"/>
          <w:szCs w:val="28"/>
        </w:rPr>
        <w:t xml:space="preserve"> - в сумме</w:t>
      </w:r>
      <w:r>
        <w:rPr>
          <w:color w:val="000000" w:themeColor="text1"/>
        </w:rPr>
        <w:t xml:space="preserve"> </w:t>
      </w:r>
      <w:r>
        <w:rPr>
          <w:b/>
          <w:bCs/>
          <w:sz w:val="28"/>
          <w:szCs w:val="28"/>
        </w:rPr>
        <w:t xml:space="preserve">21 872 209,2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95,5 % </w:t>
      </w:r>
      <w:r>
        <w:rPr>
          <w:sz w:val="28"/>
          <w:szCs w:val="28"/>
        </w:rPr>
        <w:t xml:space="preserve">от кассового плана                   января-мая 2025 года (22 906 666,4 тыс. руб.) и </w:t>
      </w:r>
      <w:r>
        <w:rPr>
          <w:b/>
          <w:sz w:val="28"/>
          <w:szCs w:val="28"/>
        </w:rPr>
        <w:t xml:space="preserve">32,9 %</w:t>
      </w:r>
      <w:r>
        <w:rPr>
          <w:sz w:val="28"/>
          <w:szCs w:val="28"/>
        </w:rPr>
        <w:t xml:space="preserve"> от годо</w:t>
      </w:r>
      <w:r>
        <w:rPr>
          <w:color w:val="000000" w:themeColor="text1"/>
          <w:sz w:val="28"/>
          <w:szCs w:val="28"/>
        </w:rPr>
        <w:t xml:space="preserve">вых ассигнований               </w:t>
      </w:r>
      <w:r>
        <w:rPr>
          <w:color w:val="000000" w:themeColor="text1"/>
          <w:sz w:val="28"/>
          <w:szCs w:val="28"/>
        </w:rPr>
        <w:t xml:space="preserve">   (</w:t>
      </w:r>
      <w:r>
        <w:rPr>
          <w:color w:val="000000" w:themeColor="text1"/>
          <w:sz w:val="28"/>
          <w:szCs w:val="28"/>
        </w:rPr>
        <w:t xml:space="preserve">66 471 595,0 тыс.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руб.). К</w:t>
      </w:r>
      <w:r>
        <w:rPr>
          <w:bCs/>
          <w:color w:val="000000" w:themeColor="text1"/>
          <w:sz w:val="28"/>
          <w:szCs w:val="28"/>
        </w:rPr>
        <w:t xml:space="preserve">ассовый расход за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аналогичный период прошлого года составлял 19 150 569,5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</w:t>
      </w:r>
      <w:r>
        <w:rPr>
          <w:sz w:val="28"/>
          <w:szCs w:val="28"/>
        </w:rPr>
        <w:t xml:space="preserve">ыс. руб., или </w:t>
      </w:r>
      <w:r>
        <w:rPr>
          <w:b/>
          <w:sz w:val="28"/>
          <w:szCs w:val="28"/>
        </w:rPr>
        <w:t xml:space="preserve">94,9 %</w:t>
      </w:r>
      <w:r>
        <w:rPr>
          <w:sz w:val="28"/>
          <w:szCs w:val="28"/>
        </w:rPr>
        <w:t xml:space="preserve"> от кассового план</w:t>
      </w:r>
      <w:r>
        <w:rPr>
          <w:color w:val="000000" w:themeColor="text1"/>
          <w:sz w:val="28"/>
          <w:szCs w:val="28"/>
        </w:rPr>
        <w:t xml:space="preserve">а января-мая 2024 года.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Cs w:val="28"/>
        </w:rPr>
      </w:pPr>
      <w:r>
        <w:rPr>
          <w:color w:val="000000" w:themeColor="text1"/>
          <w:sz w:val="20"/>
          <w:szCs w:val="28"/>
        </w:rPr>
        <w:t xml:space="preserve"> </w:t>
      </w:r>
      <w:r>
        <w:rPr>
          <w:color w:val="000000" w:themeColor="text1"/>
          <w:szCs w:val="28"/>
        </w:rPr>
      </w:r>
      <w:r>
        <w:rPr>
          <w:color w:val="000000" w:themeColor="text1"/>
          <w:szCs w:val="28"/>
        </w:rPr>
      </w:r>
    </w:p>
    <w:p>
      <w:pPr>
        <w:ind w:firstLine="709"/>
        <w:spacing w:line="240" w:lineRule="auto"/>
        <w:rPr>
          <w:b/>
          <w:color w:val="000000" w:themeColor="text1"/>
          <w:sz w:val="12"/>
          <w:szCs w:val="28"/>
        </w:rPr>
      </w:pPr>
      <w:r>
        <w:rPr>
          <w:color w:val="000000" w:themeColor="text1"/>
          <w:sz w:val="28"/>
          <w:szCs w:val="28"/>
        </w:rPr>
        <w:t xml:space="preserve">Поступления доходов за январь-май 2025 года превысили выплаты по расходам на сумму </w:t>
      </w:r>
      <w:r>
        <w:rPr>
          <w:color w:val="000000" w:themeColor="text1"/>
          <w:sz w:val="28"/>
          <w:szCs w:val="28"/>
        </w:rPr>
        <w:t xml:space="preserve">660 721,6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  <w:sz w:val="12"/>
          <w:szCs w:val="28"/>
        </w:rPr>
      </w:r>
      <w:r>
        <w:rPr>
          <w:b/>
          <w:color w:val="000000" w:themeColor="text1"/>
          <w:sz w:val="12"/>
          <w:szCs w:val="28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numPr>
          <w:ilvl w:val="0"/>
          <w:numId w:val="1"/>
        </w:numPr>
        <w:contextualSpacing/>
        <w:ind w:right="-1"/>
        <w:jc w:val="center"/>
        <w:spacing w:line="240" w:lineRule="auto"/>
        <w:widowControl/>
        <w:rPr>
          <w:rFonts w:eastAsia="Calibri"/>
          <w:b/>
          <w:caps/>
          <w:color w:val="000000" w:themeColor="text1"/>
          <w:sz w:val="28"/>
          <w:szCs w:val="22"/>
        </w:rPr>
      </w:pPr>
      <w:r>
        <w:rPr>
          <w:rFonts w:eastAsia="Calibri"/>
          <w:b/>
          <w:caps/>
          <w:color w:val="000000" w:themeColor="text1"/>
          <w:sz w:val="28"/>
          <w:szCs w:val="22"/>
          <w:lang w:eastAsia="en-US"/>
        </w:rPr>
        <w:t xml:space="preserve">ИСПОЛНЕНИЕ БЮДЖЕТА ПО ДОХОДАМ </w:t>
      </w:r>
      <w:r>
        <w:rPr>
          <w:rFonts w:eastAsia="Calibri"/>
          <w:b/>
          <w:caps/>
          <w:color w:val="000000" w:themeColor="text1"/>
          <w:sz w:val="28"/>
          <w:szCs w:val="22"/>
        </w:rPr>
      </w:r>
      <w:r>
        <w:rPr>
          <w:rFonts w:eastAsia="Calibri"/>
          <w:b/>
          <w:caps/>
          <w:color w:val="000000" w:themeColor="text1"/>
          <w:sz w:val="28"/>
          <w:szCs w:val="22"/>
        </w:rPr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(приложение 1 к настоящей записке)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Налоговые доходы</w:t>
      </w:r>
      <w:r>
        <w:rPr>
          <w:color w:val="000000" w:themeColor="text1"/>
          <w:sz w:val="28"/>
          <w:szCs w:val="28"/>
        </w:rPr>
        <w:t xml:space="preserve"> поступили в бюджет города в </w:t>
      </w:r>
      <w:r>
        <w:rPr>
          <w:sz w:val="28"/>
          <w:szCs w:val="28"/>
        </w:rPr>
        <w:t xml:space="preserve">сумме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8 660 462,8</w:t>
      </w:r>
      <w:r>
        <w:rPr>
          <w:sz w:val="28"/>
          <w:szCs w:val="28"/>
        </w:rPr>
        <w:t xml:space="preserve"> тыс</w:t>
      </w:r>
      <w:r>
        <w:rPr>
          <w:color w:val="000000" w:themeColor="text1"/>
          <w:sz w:val="28"/>
          <w:szCs w:val="28"/>
        </w:rPr>
        <w:t xml:space="preserve">. руб., </w:t>
      </w:r>
      <w:r>
        <w:rPr>
          <w:sz w:val="28"/>
          <w:szCs w:val="28"/>
        </w:rPr>
        <w:t xml:space="preserve">или </w:t>
      </w:r>
      <w:r>
        <w:rPr>
          <w:b/>
          <w:bCs/>
          <w:sz w:val="28"/>
          <w:szCs w:val="28"/>
        </w:rPr>
        <w:t xml:space="preserve">10</w:t>
      </w:r>
      <w:r>
        <w:rPr>
          <w:b/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,3 %</w:t>
      </w:r>
      <w:r>
        <w:rPr>
          <w:sz w:val="28"/>
          <w:szCs w:val="28"/>
        </w:rPr>
        <w:t xml:space="preserve"> к плану </w:t>
      </w:r>
      <w:r>
        <w:rPr>
          <w:sz w:val="28"/>
          <w:szCs w:val="28"/>
          <w:highlight w:val="white"/>
        </w:rPr>
        <w:t xml:space="preserve">января-</w:t>
      </w:r>
      <w:r>
        <w:rPr>
          <w:sz w:val="28"/>
          <w:szCs w:val="28"/>
        </w:rPr>
        <w:t xml:space="preserve">мая 2025 года (</w:t>
      </w:r>
      <w:r>
        <w:rPr>
          <w:sz w:val="28"/>
          <w:szCs w:val="28"/>
        </w:rPr>
        <w:t xml:space="preserve">8 548 395,8</w:t>
      </w:r>
      <w:r>
        <w:rPr>
          <w:sz w:val="28"/>
          <w:szCs w:val="28"/>
        </w:rPr>
        <w:t xml:space="preserve"> тыс. руб.) и </w:t>
      </w:r>
      <w:r>
        <w:rPr>
          <w:b/>
          <w:bCs/>
          <w:sz w:val="28"/>
          <w:szCs w:val="28"/>
        </w:rPr>
        <w:t xml:space="preserve">30,9</w:t>
      </w:r>
      <w:r>
        <w:rPr>
          <w:b/>
          <w:bCs/>
          <w:sz w:val="28"/>
          <w:szCs w:val="28"/>
        </w:rPr>
        <w:t xml:space="preserve"> % </w:t>
      </w:r>
      <w:r>
        <w:rPr>
          <w:sz w:val="28"/>
          <w:szCs w:val="28"/>
        </w:rPr>
        <w:t xml:space="preserve">к плану года</w:t>
      </w:r>
      <w:r>
        <w:rPr>
          <w:color w:val="000000" w:themeColor="text1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 xml:space="preserve">28 065 221,0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руб.). За аналогичный период прошлого года поступления налоговых доходов составляли </w:t>
      </w:r>
      <w:r>
        <w:rPr>
          <w:color w:val="000000"/>
          <w:sz w:val="28"/>
          <w:szCs w:val="28"/>
        </w:rPr>
        <w:t xml:space="preserve">7 195 281,6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Неналоговые доходы</w:t>
      </w:r>
      <w:r>
        <w:rPr>
          <w:color w:val="000000" w:themeColor="text1"/>
          <w:sz w:val="28"/>
          <w:szCs w:val="28"/>
        </w:rPr>
        <w:t xml:space="preserve"> поступили в бюджет города в </w:t>
      </w:r>
      <w:r>
        <w:rPr>
          <w:sz w:val="28"/>
          <w:szCs w:val="28"/>
        </w:rPr>
        <w:t xml:space="preserve">сумме </w:t>
      </w:r>
      <w:r>
        <w:rPr>
          <w:b/>
          <w:bCs/>
          <w:sz w:val="28"/>
          <w:szCs w:val="28"/>
        </w:rPr>
        <w:t xml:space="preserve">3 112 617,1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b/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08,2</w:t>
      </w:r>
      <w:r>
        <w:rPr>
          <w:b/>
          <w:bCs/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плану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января-</w:t>
      </w:r>
      <w:r>
        <w:rPr>
          <w:color w:val="000000" w:themeColor="text1"/>
          <w:sz w:val="28"/>
          <w:szCs w:val="28"/>
        </w:rPr>
        <w:t xml:space="preserve">мая 2025 года (</w:t>
      </w:r>
      <w:r>
        <w:rPr>
          <w:color w:val="000000"/>
          <w:sz w:val="28"/>
          <w:szCs w:val="28"/>
        </w:rPr>
        <w:t xml:space="preserve">2 875 784,5</w:t>
      </w:r>
      <w:r>
        <w:rPr>
          <w:color w:val="c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руб.) и </w:t>
      </w:r>
      <w:r>
        <w:rPr>
          <w:b/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1,3</w:t>
      </w:r>
      <w:r>
        <w:rPr>
          <w:b/>
          <w:bCs/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плану года</w:t>
      </w:r>
      <w:r>
        <w:rPr>
          <w:color w:val="000000" w:themeColor="text1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 xml:space="preserve">7 543 096,6</w:t>
      </w:r>
      <w:r>
        <w:rPr>
          <w:color w:val="000000" w:themeColor="text1"/>
          <w:sz w:val="28"/>
          <w:szCs w:val="28"/>
        </w:rPr>
        <w:t xml:space="preserve"> тыс. руб.). За аналогичный период прошлого года поступления неналоговых доходов составляли </w:t>
      </w:r>
      <w:r>
        <w:rPr>
          <w:color w:val="000000"/>
          <w:sz w:val="28"/>
          <w:szCs w:val="28"/>
        </w:rPr>
        <w:t xml:space="preserve">3 447 899,4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Безвозмездные поступления</w:t>
      </w:r>
      <w:r>
        <w:rPr>
          <w:color w:val="000000" w:themeColor="text1"/>
          <w:sz w:val="28"/>
          <w:szCs w:val="28"/>
        </w:rPr>
        <w:t xml:space="preserve"> от бюджетов других уровней поступили в сумме         </w:t>
      </w:r>
      <w:r>
        <w:rPr>
          <w:b/>
          <w:bCs/>
          <w:sz w:val="28"/>
          <w:szCs w:val="28"/>
        </w:rPr>
        <w:t xml:space="preserve">10 759 850,9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или </w:t>
      </w:r>
      <w:r>
        <w:rPr>
          <w:b/>
          <w:bCs/>
          <w:sz w:val="28"/>
          <w:szCs w:val="28"/>
        </w:rPr>
        <w:t xml:space="preserve">9</w:t>
      </w:r>
      <w:r>
        <w:rPr>
          <w:b/>
          <w:bCs/>
          <w:sz w:val="28"/>
          <w:szCs w:val="28"/>
        </w:rPr>
        <w:t xml:space="preserve">9,5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%</w:t>
      </w:r>
      <w:r>
        <w:rPr>
          <w:sz w:val="28"/>
          <w:szCs w:val="28"/>
          <w:highlight w:val="white"/>
        </w:rPr>
        <w:t xml:space="preserve"> к плану января-мая 2025</w:t>
      </w:r>
      <w:r>
        <w:rPr>
          <w:color w:val="000000" w:themeColor="text1"/>
          <w:sz w:val="28"/>
          <w:szCs w:val="28"/>
          <w:highlight w:val="white"/>
        </w:rPr>
        <w:t xml:space="preserve"> года (</w:t>
      </w:r>
      <w:r>
        <w:rPr>
          <w:color w:val="000000"/>
          <w:sz w:val="28"/>
          <w:szCs w:val="28"/>
        </w:rPr>
        <w:t xml:space="preserve">10 810 280,0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тыс.руб</w:t>
      </w:r>
      <w:r>
        <w:rPr>
          <w:color w:val="000000" w:themeColor="text1"/>
          <w:sz w:val="28"/>
          <w:szCs w:val="28"/>
          <w:highlight w:val="white"/>
        </w:rPr>
        <w:t xml:space="preserve">.) 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bCs/>
          <w:sz w:val="28"/>
          <w:szCs w:val="28"/>
          <w:highlight w:val="white"/>
        </w:rPr>
        <w:t xml:space="preserve">40,9</w:t>
      </w:r>
      <w:r>
        <w:rPr>
          <w:b/>
          <w:bCs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к плану года (</w:t>
      </w:r>
      <w:r>
        <w:rPr>
          <w:sz w:val="28"/>
          <w:szCs w:val="28"/>
        </w:rPr>
        <w:t xml:space="preserve">26</w:t>
      </w:r>
      <w:r>
        <w:rPr>
          <w:color w:val="000000"/>
          <w:sz w:val="28"/>
          <w:szCs w:val="28"/>
        </w:rPr>
        <w:t xml:space="preserve"> 278 850,7</w:t>
      </w:r>
      <w:r>
        <w:rPr>
          <w:color w:val="000000" w:themeColor="text1"/>
          <w:sz w:val="28"/>
          <w:szCs w:val="28"/>
          <w:highlight w:val="white"/>
        </w:rPr>
        <w:t xml:space="preserve"> тыс. р</w:t>
      </w:r>
      <w:r>
        <w:rPr>
          <w:color w:val="000000" w:themeColor="text1"/>
          <w:sz w:val="28"/>
          <w:szCs w:val="28"/>
        </w:rPr>
        <w:t xml:space="preserve">уб.). За аналогичный период прошлого года поступления составляли </w:t>
      </w:r>
      <w:r>
        <w:rPr>
          <w:color w:val="000000"/>
          <w:sz w:val="28"/>
          <w:szCs w:val="28"/>
        </w:rPr>
        <w:t xml:space="preserve">10 197 075,1</w:t>
      </w:r>
      <w:r>
        <w:rPr>
          <w:color w:val="00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Анализ исполнения плана по доходам за январь-май 2025 года по основным </w:t>
      </w:r>
      <w:r>
        <w:rPr>
          <w:color w:val="000000" w:themeColor="text1"/>
          <w:sz w:val="28"/>
          <w:szCs w:val="28"/>
        </w:rPr>
        <w:t xml:space="preserve">бюджетообразующим</w:t>
      </w:r>
      <w:r>
        <w:rPr>
          <w:color w:val="000000" w:themeColor="text1"/>
          <w:sz w:val="28"/>
          <w:szCs w:val="28"/>
        </w:rPr>
        <w:t xml:space="preserve"> поступлениям выглядит следующим образом: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0"/>
          <w:szCs w:val="18"/>
          <w:highlight w:val="white"/>
        </w:rPr>
      </w:pPr>
      <w:r>
        <w:rPr>
          <w:color w:val="000000" w:themeColor="text1"/>
          <w:sz w:val="28"/>
          <w:highlight w:val="white"/>
        </w:rPr>
      </w:r>
      <w:r>
        <w:rPr>
          <w:color w:val="000000" w:themeColor="text1"/>
          <w:sz w:val="20"/>
          <w:szCs w:val="18"/>
          <w:highlight w:val="white"/>
        </w:rPr>
      </w:r>
      <w:r>
        <w:rPr>
          <w:color w:val="000000" w:themeColor="text1"/>
          <w:sz w:val="20"/>
          <w:szCs w:val="1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По состоянию на 01.06.2025 фактическое поступление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налога на доходы физических лиц 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6 242 659,4 тыс. руб., или 101,5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% к плану отчетного периода (6 149 115,0 тыс. руб.) и 29,1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</w:t>
      </w:r>
      <w:r>
        <w:rPr>
          <w:iCs/>
          <w:color w:val="000000" w:themeColor="text1"/>
          <w:sz w:val="28"/>
          <w:szCs w:val="28"/>
          <w:highlight w:val="white"/>
        </w:rPr>
        <w:t xml:space="preserve"> к</w:t>
      </w:r>
      <w:r>
        <w:rPr>
          <w:color w:val="000000" w:themeColor="text1"/>
          <w:sz w:val="28"/>
          <w:szCs w:val="28"/>
          <w:highlight w:val="white"/>
        </w:rPr>
        <w:t xml:space="preserve"> уточненному плану года (21 478 832,2 </w:t>
      </w:r>
      <w:r>
        <w:rPr>
          <w:color w:val="000000" w:themeColor="text1"/>
          <w:sz w:val="28"/>
          <w:szCs w:val="28"/>
          <w:highlight w:val="white"/>
        </w:rPr>
        <w:t xml:space="preserve">               </w:t>
      </w:r>
      <w:r>
        <w:rPr>
          <w:color w:val="000000" w:themeColor="text1"/>
          <w:sz w:val="28"/>
          <w:szCs w:val="28"/>
          <w:highlight w:val="white"/>
        </w:rPr>
        <w:t xml:space="preserve">тыс. руб.). </w:t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120,5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851"/>
        <w:spacing w:line="240" w:lineRule="atLeast"/>
        <w:rPr>
          <w:color w:val="000000" w:themeColor="text1"/>
          <w:sz w:val="20"/>
          <w:szCs w:val="28"/>
          <w:highlight w:val="white"/>
        </w:rPr>
      </w:pPr>
      <w:r>
        <w:rPr>
          <w:color w:val="000000" w:themeColor="text1"/>
          <w:sz w:val="20"/>
          <w:szCs w:val="28"/>
          <w:highlight w:val="white"/>
        </w:rPr>
      </w:r>
      <w:r>
        <w:rPr>
          <w:color w:val="000000" w:themeColor="text1"/>
          <w:sz w:val="20"/>
          <w:szCs w:val="28"/>
          <w:highlight w:val="white"/>
        </w:rPr>
      </w:r>
      <w:r>
        <w:rPr>
          <w:color w:val="000000" w:themeColor="text1"/>
          <w:sz w:val="20"/>
          <w:szCs w:val="28"/>
          <w:highlight w:val="white"/>
        </w:rPr>
      </w:r>
    </w:p>
    <w:p>
      <w:pPr>
        <w:ind w:firstLine="709"/>
        <w:spacing w:line="240" w:lineRule="atLeast"/>
        <w:rPr>
          <w:iCs/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туристическому налогу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фактическое поступление составило 8 058,4 </w:t>
      </w:r>
      <w:r>
        <w:rPr>
          <w:iCs/>
          <w:color w:val="000000" w:themeColor="text1"/>
          <w:sz w:val="28"/>
          <w:szCs w:val="28"/>
          <w:highlight w:val="white"/>
        </w:rPr>
        <w:t xml:space="preserve">                    </w:t>
      </w:r>
      <w:r>
        <w:rPr>
          <w:iCs/>
          <w:color w:val="000000" w:themeColor="text1"/>
          <w:sz w:val="28"/>
          <w:szCs w:val="28"/>
          <w:highlight w:val="white"/>
        </w:rPr>
        <w:t xml:space="preserve">тыс. руб., или 67,2 % к плану отчетного периода (12 000,0 тыс. руб.) и 15,2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% к плану года (52 994,3 тыс. руб.).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spacing w:line="240" w:lineRule="atLeast"/>
        <w:tabs>
          <w:tab w:val="left" w:pos="850" w:leader="none"/>
        </w:tabs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iCs/>
          <w:color w:val="000000" w:themeColor="text1"/>
          <w:sz w:val="28"/>
          <w:szCs w:val="28"/>
          <w:highlight w:val="white"/>
        </w:rPr>
        <w:t xml:space="preserve">          </w:t>
      </w:r>
      <w:r>
        <w:rPr>
          <w:iCs/>
          <w:color w:val="000000" w:themeColor="text1"/>
          <w:sz w:val="28"/>
          <w:szCs w:val="28"/>
          <w:highlight w:val="white"/>
        </w:rPr>
        <w:t xml:space="preserve">Невыполнение плана обусловлено формированием в настоящее время </w:t>
      </w:r>
      <w:r>
        <w:rPr>
          <w:color w:val="000000" w:themeColor="text1"/>
          <w:sz w:val="28"/>
          <w:szCs w:val="28"/>
          <w:highlight w:val="white"/>
        </w:rPr>
        <w:t xml:space="preserve">единого реестра объектов классификации.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851"/>
        <w:spacing w:line="240" w:lineRule="atLeast"/>
        <w:rPr>
          <w:b/>
          <w:bCs/>
          <w:color w:val="7030a0"/>
          <w:sz w:val="20"/>
          <w:szCs w:val="20"/>
          <w:highlight w:val="white"/>
        </w:rPr>
      </w:pPr>
      <w:r>
        <w:rPr>
          <w:b/>
          <w:bCs/>
          <w:color w:val="7030a0"/>
          <w:sz w:val="28"/>
          <w:szCs w:val="28"/>
          <w:highlight w:val="white"/>
        </w:rPr>
      </w:r>
      <w:r>
        <w:rPr>
          <w:b/>
          <w:bCs/>
          <w:color w:val="7030a0"/>
          <w:sz w:val="20"/>
          <w:szCs w:val="20"/>
          <w:highlight w:val="white"/>
        </w:rPr>
      </w:r>
      <w:r>
        <w:rPr>
          <w:b/>
          <w:bCs/>
          <w:color w:val="7030a0"/>
          <w:sz w:val="20"/>
          <w:szCs w:val="20"/>
          <w:highlight w:val="white"/>
        </w:rPr>
      </w:r>
    </w:p>
    <w:p>
      <w:pPr>
        <w:ind w:firstLine="709"/>
        <w:spacing w:line="240" w:lineRule="atLeast"/>
        <w:rPr>
          <w:iCs/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налогу, взимаемому в связи с применением упрощенной системы налогообложения,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фактическое поступление составило 640 152,5 тыс. руб., или 97,6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% к плану отчетного периода (655 732,3 тыс. руб.) и 50,8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% к плану года</w:t>
      </w:r>
      <w:r>
        <w:rPr>
          <w:iCs/>
          <w:color w:val="000000" w:themeColor="text1"/>
          <w:sz w:val="28"/>
          <w:szCs w:val="28"/>
          <w:highlight w:val="white"/>
        </w:rPr>
        <w:t xml:space="preserve"> (1 259 409,1       тыс. руб.). Относительно аналогичного периода прошлого года поступления составили 105,1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%.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На невыполнение плана по налогу, взимаемому в связи с применением упрощенной системы налогообложения, повлияло</w:t>
      </w:r>
      <w:r>
        <w:rPr>
          <w:iCs/>
          <w:color w:val="000000" w:themeColor="text1"/>
          <w:sz w:val="28"/>
          <w:szCs w:val="28"/>
          <w:highlight w:val="white"/>
        </w:rPr>
        <w:t xml:space="preserve"> снижение поступлений от строительных организаций.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851"/>
        <w:spacing w:line="240" w:lineRule="atLeast"/>
        <w:rPr>
          <w:color w:val="7030a0"/>
          <w:sz w:val="20"/>
          <w:szCs w:val="20"/>
          <w:highlight w:val="white"/>
        </w:rPr>
      </w:pP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0"/>
          <w:szCs w:val="20"/>
          <w:highlight w:val="white"/>
        </w:rPr>
      </w:r>
      <w:r>
        <w:rPr>
          <w:color w:val="7030a0"/>
          <w:sz w:val="20"/>
          <w:szCs w:val="20"/>
          <w:highlight w:val="white"/>
        </w:rPr>
      </w:r>
    </w:p>
    <w:p>
      <w:pPr>
        <w:ind w:firstLine="708"/>
        <w:spacing w:line="240" w:lineRule="atLeast"/>
        <w:rPr>
          <w:iCs/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По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налогу, взимаемому в связи с применением патентной системы налогообложения,</w:t>
      </w:r>
      <w:r>
        <w:rPr>
          <w:iCs/>
          <w:color w:val="000000" w:themeColor="text1"/>
          <w:sz w:val="28"/>
          <w:szCs w:val="28"/>
          <w:highlight w:val="white"/>
        </w:rPr>
        <w:t xml:space="preserve"> фактическое поступление составило 297 191,7 тыс. руб.</w:t>
      </w:r>
      <w:r>
        <w:rPr>
          <w:iCs/>
          <w:color w:val="000000" w:themeColor="text1"/>
          <w:sz w:val="28"/>
          <w:szCs w:val="28"/>
          <w:highlight w:val="white"/>
        </w:rPr>
        <w:t xml:space="preserve">,</w:t>
      </w:r>
      <w:r>
        <w:rPr>
          <w:iCs/>
          <w:color w:val="000000" w:themeColor="text1"/>
          <w:sz w:val="28"/>
          <w:szCs w:val="28"/>
          <w:highlight w:val="white"/>
        </w:rPr>
        <w:t xml:space="preserve"> или 96,3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% к плану отчетного периода (308 592,3 тыс. руб.) и 48,3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% к плану года</w:t>
      </w:r>
      <w:r>
        <w:rPr>
          <w:iCs/>
          <w:color w:val="000000" w:themeColor="text1"/>
          <w:sz w:val="28"/>
          <w:szCs w:val="28"/>
          <w:highlight w:val="white"/>
        </w:rPr>
        <w:t xml:space="preserve"> (</w:t>
      </w:r>
      <w:r>
        <w:rPr>
          <w:iCs/>
          <w:color w:val="000000" w:themeColor="text1"/>
          <w:sz w:val="28"/>
          <w:szCs w:val="28"/>
          <w:highlight w:val="white"/>
        </w:rPr>
        <w:t xml:space="preserve">615 839,4</w:t>
      </w:r>
      <w:r>
        <w:rPr>
          <w:iCs/>
          <w:color w:val="000000" w:themeColor="text1"/>
          <w:sz w:val="28"/>
          <w:szCs w:val="28"/>
          <w:highlight w:val="white"/>
        </w:rPr>
        <w:t xml:space="preserve">                  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руб.). </w:t>
      </w: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106,9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%.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Неисполнение плана обусловлено ростом количества налогоплательщиков, воспользовавшихся правом уменьшения налога на сумму уплаченных страховых взносов.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851"/>
        <w:spacing w:line="240" w:lineRule="atLeast"/>
        <w:rPr>
          <w:color w:val="000000" w:themeColor="text1"/>
          <w:sz w:val="20"/>
          <w:szCs w:val="20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ind w:firstLine="708"/>
        <w:spacing w:line="240" w:lineRule="atLeast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По </w:t>
      </w:r>
      <w:r>
        <w:rPr>
          <w:b/>
          <w:iCs/>
          <w:color w:val="000000" w:themeColor="text1"/>
          <w:sz w:val="28"/>
          <w:szCs w:val="28"/>
        </w:rPr>
        <w:t xml:space="preserve">налогу на имущество физических лиц </w:t>
      </w:r>
      <w:r>
        <w:rPr>
          <w:iCs/>
          <w:color w:val="000000" w:themeColor="text1"/>
          <w:sz w:val="28"/>
          <w:szCs w:val="28"/>
        </w:rPr>
        <w:t xml:space="preserve">поступление составило 68 701,3 </w:t>
      </w:r>
      <w:r>
        <w:rPr>
          <w:iCs/>
          <w:color w:val="000000" w:themeColor="text1"/>
          <w:sz w:val="28"/>
          <w:szCs w:val="28"/>
        </w:rPr>
        <w:t xml:space="preserve">               </w:t>
      </w:r>
      <w:r>
        <w:rPr>
          <w:iCs/>
          <w:color w:val="000000" w:themeColor="text1"/>
          <w:sz w:val="28"/>
          <w:szCs w:val="28"/>
        </w:rPr>
        <w:t xml:space="preserve">тыс. руб.</w:t>
      </w:r>
      <w:r>
        <w:rPr>
          <w:iCs/>
          <w:color w:val="000000" w:themeColor="text1"/>
          <w:sz w:val="28"/>
          <w:szCs w:val="28"/>
        </w:rPr>
        <w:t xml:space="preserve">,</w:t>
      </w:r>
      <w:r>
        <w:rPr>
          <w:iCs/>
          <w:color w:val="000000" w:themeColor="text1"/>
          <w:sz w:val="28"/>
          <w:szCs w:val="28"/>
        </w:rPr>
        <w:t xml:space="preserve"> или 106,7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% к плану отчетного периода (64 400,0 тыс. руб.) и 4,6 % к плану года (1 486 170,1 тыс. руб.).</w:t>
      </w:r>
      <w:r>
        <w:rPr>
          <w:color w:val="000000" w:themeColor="text1"/>
          <w:sz w:val="28"/>
          <w:szCs w:val="28"/>
        </w:rPr>
        <w:t xml:space="preserve"> П</w:t>
      </w:r>
      <w:r>
        <w:rPr>
          <w:iCs/>
          <w:color w:val="000000" w:themeColor="text1"/>
          <w:sz w:val="28"/>
          <w:szCs w:val="28"/>
        </w:rPr>
        <w:t xml:space="preserve">ри отсутствии срока уплаты поступили платежи в счет погашения задолженности.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</w:r>
      <w:r>
        <w:rPr>
          <w:iCs/>
          <w:color w:val="000000" w:themeColor="text1"/>
          <w:sz w:val="28"/>
          <w:szCs w:val="28"/>
        </w:rPr>
      </w:r>
    </w:p>
    <w:p>
      <w:pPr>
        <w:ind w:firstLine="708"/>
        <w:spacing w:line="240" w:lineRule="atLeast"/>
        <w:rPr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</w:r>
      <w:r>
        <w:rPr>
          <w:iCs/>
          <w:color w:val="000000" w:themeColor="text1"/>
          <w:sz w:val="28"/>
          <w:szCs w:val="28"/>
        </w:rPr>
        <w:t xml:space="preserve">Относительно аналогичного периода прошлого года поступления увеличились </w:t>
      </w:r>
      <w:r>
        <w:rPr>
          <w:iCs/>
          <w:color w:val="000000" w:themeColor="text1"/>
          <w:sz w:val="28"/>
          <w:szCs w:val="28"/>
        </w:rPr>
        <w:t xml:space="preserve">    </w:t>
      </w:r>
      <w:r>
        <w:rPr>
          <w:iCs/>
          <w:color w:val="000000" w:themeColor="text1"/>
          <w:sz w:val="28"/>
          <w:szCs w:val="28"/>
        </w:rPr>
        <w:t xml:space="preserve">на 12,2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%.</w:t>
      </w:r>
      <w:r>
        <w:rPr>
          <w:iCs/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b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земельному налогу</w:t>
      </w:r>
      <w:r>
        <w:rPr>
          <w:color w:val="000000" w:themeColor="text1"/>
          <w:sz w:val="28"/>
          <w:szCs w:val="28"/>
          <w:highlight w:val="white"/>
        </w:rPr>
        <w:t xml:space="preserve"> фактическое поступление составило 1 103 556,2</w:t>
      </w:r>
      <w:r>
        <w:rPr>
          <w:color w:val="000000" w:themeColor="text1"/>
          <w:sz w:val="28"/>
          <w:szCs w:val="28"/>
          <w:highlight w:val="white"/>
        </w:rPr>
        <w:t xml:space="preserve">                        тыс. руб., что на 3,4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превышает план отчетного периода (1 067 724,0 </w:t>
      </w:r>
      <w:r>
        <w:rPr>
          <w:iCs/>
          <w:color w:val="000000" w:themeColor="text1"/>
          <w:sz w:val="28"/>
          <w:szCs w:val="28"/>
          <w:highlight w:val="white"/>
        </w:rPr>
        <w:t xml:space="preserve">тыс. руб</w:t>
      </w:r>
      <w:r>
        <w:rPr>
          <w:iCs/>
          <w:color w:val="000000" w:themeColor="text1"/>
          <w:sz w:val="28"/>
          <w:szCs w:val="28"/>
          <w:highlight w:val="white"/>
        </w:rPr>
        <w:t xml:space="preserve">.</w:t>
      </w:r>
      <w:r>
        <w:rPr>
          <w:iCs/>
          <w:color w:val="000000" w:themeColor="text1"/>
          <w:sz w:val="28"/>
          <w:szCs w:val="28"/>
          <w:highlight w:val="white"/>
        </w:rPr>
        <w:t xml:space="preserve">)</w:t>
      </w:r>
      <w:r>
        <w:rPr>
          <w:iCs/>
          <w:color w:val="000000" w:themeColor="text1"/>
          <w:sz w:val="28"/>
          <w:szCs w:val="28"/>
          <w:highlight w:val="white"/>
        </w:rPr>
        <w:t xml:space="preserve">             </w:t>
      </w:r>
      <w:r>
        <w:rPr>
          <w:iCs/>
          <w:color w:val="000000" w:themeColor="text1"/>
          <w:sz w:val="28"/>
          <w:szCs w:val="28"/>
          <w:highlight w:val="white"/>
        </w:rPr>
        <w:t xml:space="preserve"> и составляет 45,2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% к уточненному плану года (2 439 929,8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iCs/>
          <w:color w:val="000000" w:themeColor="text1"/>
          <w:sz w:val="28"/>
          <w:szCs w:val="28"/>
          <w:highlight w:val="whit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увеличились </w:t>
      </w:r>
      <w:r>
        <w:rPr>
          <w:iCs/>
          <w:color w:val="000000" w:themeColor="text1"/>
          <w:sz w:val="28"/>
          <w:szCs w:val="28"/>
          <w:highlight w:val="white"/>
        </w:rPr>
        <w:t xml:space="preserve">    </w:t>
      </w:r>
      <w:r>
        <w:rPr>
          <w:iCs/>
          <w:color w:val="000000" w:themeColor="text1"/>
          <w:sz w:val="28"/>
          <w:szCs w:val="28"/>
          <w:highlight w:val="white"/>
        </w:rPr>
        <w:t xml:space="preserve">на 16,9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%.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ind w:firstLine="851"/>
        <w:spacing w:line="240" w:lineRule="atLeast"/>
        <w:rPr>
          <w:color w:val="7030a0"/>
          <w:sz w:val="28"/>
          <w:szCs w:val="28"/>
          <w:highlight w:val="white"/>
        </w:rPr>
      </w:pP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</w:p>
    <w:p>
      <w:pPr>
        <w:ind w:firstLine="709"/>
        <w:spacing w:line="240" w:lineRule="atLeast"/>
        <w:shd w:val="clear" w:color="ffffff" w:fill="ffffff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</w:t>
      </w:r>
      <w:r>
        <w:rPr>
          <w:b/>
          <w:color w:val="000000" w:themeColor="text1"/>
          <w:sz w:val="28"/>
          <w:szCs w:val="28"/>
          <w:highlight w:val="white"/>
        </w:rPr>
        <w:t xml:space="preserve">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руемые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177 843,7 тыс. руб., что на 19,1 % больше плана отчетного периода (149 340,0 тыс. руб.) и составляет</w:t>
      </w:r>
      <w:r>
        <w:rPr>
          <w:color w:val="000000" w:themeColor="text1"/>
          <w:sz w:val="28"/>
          <w:szCs w:val="28"/>
          <w:highlight w:val="white"/>
        </w:rPr>
        <w:t xml:space="preserve">                 </w:t>
      </w:r>
      <w:r>
        <w:rPr>
          <w:color w:val="000000" w:themeColor="text1"/>
          <w:sz w:val="28"/>
          <w:szCs w:val="28"/>
          <w:highlight w:val="white"/>
        </w:rPr>
        <w:t xml:space="preserve"> 45,2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года (393 350,3 тыс. 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shd w:val="clear" w:color="ffffff" w:fill="ffffff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 на 40,3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(на 51 125,4 тыс. руб.), в основном, за счет поступления средств от продажи права на заключение договоров аренды земельных участков на торгах.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shd w:val="clear" w:color="ffffff" w:fill="ffffff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shd w:val="clear" w:color="ffffff" w:fill="ffffff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</w:rPr>
        <w:t xml:space="preserve">107 520,1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на 3,6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больше установленного плана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         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color w:val="000000" w:themeColor="text1"/>
          <w:sz w:val="28"/>
        </w:rPr>
        <w:t xml:space="preserve">103 800,0</w:t>
      </w:r>
      <w:r>
        <w:rPr>
          <w:color w:val="000000" w:themeColor="text1"/>
          <w:sz w:val="28"/>
          <w:szCs w:val="28"/>
          <w:highlight w:val="white"/>
        </w:rPr>
        <w:t xml:space="preserve"> тыс. руб.) и меньше объема аналогичного периода прошлого года на 4 893,2 тыс. руб.;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shd w:val="clear" w:color="ffffff" w:fill="ffffff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реализации права на заключение договоров аренды земельных участков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</w:rPr>
        <w:t xml:space="preserve">70 323,6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в 1,5 раза больше плана отчетного периода (</w:t>
      </w:r>
      <w:r>
        <w:rPr>
          <w:color w:val="000000" w:themeColor="text1"/>
          <w:sz w:val="28"/>
        </w:rPr>
        <w:t xml:space="preserve">45 540,0</w:t>
      </w:r>
      <w:r>
        <w:rPr>
          <w:color w:val="000000" w:themeColor="text1"/>
          <w:sz w:val="28"/>
          <w:szCs w:val="28"/>
          <w:highlight w:val="white"/>
        </w:rPr>
        <w:t xml:space="preserve"> тыс. руб.). П</w:t>
      </w:r>
      <w:bookmarkStart w:id="1" w:name="undefined"/>
      <w:r>
        <w:rPr>
          <w:color w:val="000000" w:themeColor="text1"/>
        </w:rPr>
      </w:r>
      <w:bookmarkEnd w:id="1"/>
      <w:r>
        <w:rPr>
          <w:color w:val="000000" w:themeColor="text1"/>
          <w:sz w:val="28"/>
          <w:szCs w:val="28"/>
          <w:highlight w:val="white"/>
        </w:rPr>
        <w:t xml:space="preserve">еревыполнение, в </w:t>
      </w:r>
      <w:r>
        <w:rPr>
          <w:color w:val="000000" w:themeColor="text1"/>
          <w:sz w:val="28"/>
          <w:szCs w:val="28"/>
          <w:highlight w:val="white"/>
        </w:rPr>
        <w:t xml:space="preserve">основном, сложилось за счет п</w:t>
      </w:r>
      <w:r>
        <w:rPr>
          <w:color w:val="000000" w:themeColor="text1"/>
          <w:sz w:val="28"/>
          <w:szCs w:val="28"/>
          <w:highlight w:val="white"/>
        </w:rPr>
        <w:t xml:space="preserve">оступления денежных средств по итогам аукциона, на котором было реализовано право на заключение договоров аренды земельных участков для строительства объектов производственного и складского назначения по ул. Промышленной, 135Б </w:t>
      </w:r>
      <w:r>
        <w:rPr>
          <w:color w:val="000000" w:themeColor="text1"/>
          <w:sz w:val="28"/>
          <w:szCs w:val="28"/>
          <w:highlight w:val="white"/>
        </w:rPr>
        <w:t xml:space="preserve">           </w:t>
      </w:r>
      <w:r>
        <w:rPr>
          <w:color w:val="000000" w:themeColor="text1"/>
          <w:sz w:val="28"/>
          <w:szCs w:val="28"/>
          <w:highlight w:val="white"/>
        </w:rPr>
        <w:t xml:space="preserve">и 135В, состоявшегося 26 декабря 2024 года, в сумме 29 201,2 тыс. руб.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b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получаемые в виде арендной платы за земли, находящиеся </w:t>
      </w:r>
      <w:r>
        <w:rPr>
          <w:b/>
          <w:color w:val="000000" w:themeColor="text1"/>
          <w:sz w:val="28"/>
          <w:szCs w:val="28"/>
          <w:highlight w:val="white"/>
        </w:rPr>
        <w:br/>
        <w:t xml:space="preserve">в собственности городских округов</w:t>
      </w:r>
      <w:r>
        <w:rPr>
          <w:color w:val="000000" w:themeColor="text1"/>
          <w:sz w:val="28"/>
          <w:szCs w:val="28"/>
          <w:highlight w:val="white"/>
        </w:rPr>
        <w:t xml:space="preserve">,</w:t>
      </w:r>
      <w:r>
        <w:rPr>
          <w:b/>
          <w:color w:val="000000" w:themeColor="text1"/>
          <w:sz w:val="28"/>
          <w:szCs w:val="28"/>
          <w:highlight w:val="white"/>
        </w:rPr>
        <w:t xml:space="preserve"> а также средства от продажи права на заключение договоров ар</w:t>
      </w:r>
      <w:r>
        <w:rPr>
          <w:b/>
          <w:color w:val="000000" w:themeColor="text1"/>
          <w:sz w:val="28"/>
          <w:szCs w:val="28"/>
          <w:highlight w:val="white"/>
        </w:rPr>
        <w:t xml:space="preserve">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руемые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35 606,4 тыс. руб., что составляет 151,0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 (23 577,6 тыс. руб.) и 21,0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года (169 383,1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</w:rPr>
        <w:t xml:space="preserve">24 827,7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на 30,3 % больше плана отчетного периода (</w:t>
      </w:r>
      <w:r>
        <w:rPr>
          <w:color w:val="000000" w:themeColor="text1"/>
          <w:sz w:val="28"/>
        </w:rPr>
        <w:t xml:space="preserve">19 053,0</w:t>
      </w:r>
      <w:r>
        <w:rPr>
          <w:color w:val="000000" w:themeColor="text1"/>
          <w:sz w:val="28"/>
          <w:szCs w:val="28"/>
          <w:highlight w:val="white"/>
        </w:rPr>
        <w:t xml:space="preserve"> тыс. руб.) </w:t>
      </w:r>
      <w:r>
        <w:rPr>
          <w:color w:val="000000" w:themeColor="text1"/>
          <w:sz w:val="28"/>
          <w:szCs w:val="28"/>
          <w:highlight w:val="white"/>
        </w:rPr>
        <w:t xml:space="preserve">  </w:t>
      </w:r>
      <w:r>
        <w:rPr>
          <w:color w:val="000000" w:themeColor="text1"/>
          <w:sz w:val="28"/>
          <w:szCs w:val="28"/>
          <w:highlight w:val="white"/>
        </w:rPr>
        <w:t xml:space="preserve">и боль</w:t>
      </w:r>
      <w:r>
        <w:rPr>
          <w:color w:val="000000" w:themeColor="text1"/>
          <w:sz w:val="28"/>
          <w:szCs w:val="28"/>
          <w:highlight w:val="white"/>
        </w:rPr>
        <w:t xml:space="preserve">ше объема аналогичного периода прошлого года на 9 714,6 тыс. руб. Перевыполнение плана отчетного периода обусловлено поступлением оплаты                             по договорам аренды, заключенным после формирования проекта бюджетного задания на 2025 год;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средства от продажи права на заключение договоров аренды земельных участков, находящихся в муниципальной собственности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10 778,7 тыс. руб., что больше в 2,4 раза плана отчетного период (4 524,6 тыс.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руб.). Перевыполнение плана связано с поступлением средств по ранее заключенному договору за 1 и 2 кварталы 2025 года.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rFonts w:eastAsia="Calibri"/>
          <w:color w:val="000000" w:themeColor="text1"/>
          <w:sz w:val="22"/>
          <w:szCs w:val="22"/>
          <w:highlight w:val="white"/>
        </w:rPr>
        <w:outlineLvl w:val="0"/>
      </w:pPr>
      <w:r>
        <w:rPr>
          <w:rFonts w:eastAsia="Calibri"/>
          <w:color w:val="000000" w:themeColor="text1"/>
          <w:sz w:val="22"/>
          <w:szCs w:val="22"/>
          <w:highlight w:val="white"/>
        </w:rPr>
      </w:r>
      <w:r>
        <w:rPr>
          <w:rFonts w:eastAsia="Calibri"/>
          <w:color w:val="000000" w:themeColor="text1"/>
          <w:sz w:val="22"/>
          <w:szCs w:val="22"/>
          <w:highlight w:val="white"/>
        </w:rPr>
      </w:r>
      <w:r>
        <w:rPr>
          <w:rFonts w:eastAsia="Calibri"/>
          <w:color w:val="000000" w:themeColor="text1"/>
          <w:sz w:val="22"/>
          <w:szCs w:val="22"/>
          <w:highlight w:val="white"/>
        </w:rPr>
      </w:r>
    </w:p>
    <w:p>
      <w:pPr>
        <w:spacing w:line="240" w:lineRule="atLeast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white"/>
        </w:rPr>
        <w:outlineLvl w:val="0"/>
      </w:pPr>
      <w:r>
        <w:rPr>
          <w:rFonts w:eastAsia="Calibri"/>
          <w:b/>
          <w:color w:val="000000" w:themeColor="text1"/>
          <w:sz w:val="28"/>
          <w:szCs w:val="28"/>
          <w:highlight w:val="white"/>
        </w:rPr>
        <w:tab/>
      </w:r>
      <w:r>
        <w:rPr>
          <w:rFonts w:eastAsia="Calibri"/>
          <w:b/>
          <w:color w:val="000000" w:themeColor="text1"/>
          <w:sz w:val="28"/>
          <w:szCs w:val="28"/>
          <w:highlight w:val="white"/>
        </w:rPr>
        <w:t xml:space="preserve">Доходы от сдачи в аренду муниципального имущества,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 поступили в сумме 33</w:t>
      </w:r>
      <w:r>
        <w:rPr>
          <w:rFonts w:eastAsia="Calibri"/>
          <w:color w:val="000000" w:themeColor="text1"/>
          <w:sz w:val="28"/>
          <w:szCs w:val="28"/>
          <w:highlight w:val="white"/>
          <w:lang w:val="en-US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196,5 тыс. руб., что составляет 100,3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% от плана отчетного периода (33 100,0 тыс. руб.) и 41,0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%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                     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от плана года (80 987,0 тыс. руб.).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составили 98,3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%.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000000" w:themeColor="text1"/>
          <w:sz w:val="22"/>
          <w:szCs w:val="22"/>
          <w:highlight w:val="white"/>
        </w:rPr>
        <w:outlineLvl w:val="0"/>
      </w:pPr>
      <w:r>
        <w:rPr>
          <w:color w:val="000000" w:themeColor="text1"/>
          <w:sz w:val="22"/>
          <w:szCs w:val="22"/>
          <w:highlight w:val="white"/>
        </w:rPr>
      </w:r>
      <w:r>
        <w:rPr>
          <w:color w:val="000000" w:themeColor="text1"/>
          <w:sz w:val="22"/>
          <w:szCs w:val="22"/>
          <w:highlight w:val="white"/>
        </w:rPr>
      </w:r>
      <w:r>
        <w:rPr>
          <w:color w:val="000000" w:themeColor="text1"/>
          <w:sz w:val="22"/>
          <w:szCs w:val="22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bCs/>
          <w:color w:val="000000" w:themeColor="text1"/>
          <w:sz w:val="28"/>
          <w:szCs w:val="28"/>
          <w:highlight w:val="white"/>
        </w:rPr>
        <w:t xml:space="preserve">Прочие доходы от использования имущества и прав, находящихся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                             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в государственной и муниципальной собственности (за исключением имущества бюджетных и автономных учреждений, а также имущества государственных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                    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и муницип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альных унитарных предприятий, в том числе казенных), </w:t>
      </w:r>
      <w:r>
        <w:rPr>
          <w:color w:val="000000" w:themeColor="text1"/>
          <w:sz w:val="28"/>
          <w:szCs w:val="28"/>
          <w:highlight w:val="white"/>
        </w:rPr>
        <w:t xml:space="preserve">поступили</w:t>
      </w:r>
      <w:r>
        <w:rPr>
          <w:color w:val="000000" w:themeColor="text1"/>
          <w:sz w:val="28"/>
          <w:szCs w:val="28"/>
          <w:highlight w:val="white"/>
        </w:rPr>
        <w:t xml:space="preserve">                </w:t>
      </w:r>
      <w:r>
        <w:rPr>
          <w:color w:val="000000" w:themeColor="text1"/>
          <w:sz w:val="28"/>
          <w:szCs w:val="28"/>
          <w:highlight w:val="white"/>
        </w:rPr>
        <w:t xml:space="preserve"> в сумме 76 455,3 тыс. руб., что составляет 111,8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 (68 362,2 тыс. руб.) и 41,1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года (185 836,2 тыс. руб.).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доходы по договорам на размещение рекламных конструкций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</w:t>
      </w: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i/>
          <w:color w:val="000000" w:themeColor="text1"/>
          <w:sz w:val="28"/>
          <w:szCs w:val="28"/>
          <w:highlight w:val="white"/>
        </w:rPr>
        <w:t xml:space="preserve">руемые</w:t>
      </w:r>
      <w:r>
        <w:rPr>
          <w:i/>
          <w:color w:val="000000" w:themeColor="text1"/>
          <w:sz w:val="28"/>
          <w:szCs w:val="28"/>
          <w:highlight w:val="white"/>
        </w:rPr>
        <w:t xml:space="preserve">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              </w:t>
      </w:r>
      <w:r>
        <w:rPr>
          <w:color w:val="000000" w:themeColor="text1"/>
          <w:sz w:val="28"/>
          <w:szCs w:val="28"/>
          <w:highlight w:val="white"/>
        </w:rPr>
        <w:t xml:space="preserve">39 625,0 тыс. руб.</w:t>
      </w:r>
      <w:r>
        <w:rPr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или 104,3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(37 979,6 тыс. руб.) и 37,8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года (104 746,7 тыс. руб.). Перевыполнение плана отчетного периода обусловлено поступлением аванс</w:t>
      </w:r>
      <w:r>
        <w:rPr>
          <w:color w:val="000000" w:themeColor="text1"/>
          <w:sz w:val="28"/>
          <w:szCs w:val="28"/>
          <w:highlight w:val="white"/>
        </w:rPr>
        <w:t xml:space="preserve">овых платежей за июнь 2025 года;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доходы по договорам на размещение нестационарных объектов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</w:t>
      </w: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i/>
          <w:color w:val="000000" w:themeColor="text1"/>
          <w:sz w:val="28"/>
          <w:szCs w:val="28"/>
          <w:highlight w:val="white"/>
        </w:rPr>
        <w:t xml:space="preserve">рируемые</w:t>
      </w:r>
      <w:r>
        <w:rPr>
          <w:i/>
          <w:color w:val="000000" w:themeColor="text1"/>
          <w:sz w:val="28"/>
          <w:szCs w:val="28"/>
          <w:highlight w:val="white"/>
        </w:rPr>
        <w:t xml:space="preserve">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поступили в </w:t>
      </w:r>
      <w:r>
        <w:rPr>
          <w:color w:val="000000" w:themeColor="text1"/>
          <w:sz w:val="28"/>
          <w:szCs w:val="28"/>
          <w:highlight w:val="white"/>
        </w:rPr>
        <w:t xml:space="preserve">сумме</w:t>
      </w:r>
      <w:r>
        <w:rPr>
          <w:color w:val="000000" w:themeColor="text1"/>
          <w:sz w:val="28"/>
          <w:szCs w:val="28"/>
          <w:highlight w:val="white"/>
        </w:rPr>
        <w:t xml:space="preserve">  </w:t>
      </w:r>
      <w:r>
        <w:rPr>
          <w:color w:val="000000" w:themeColor="text1"/>
          <w:sz w:val="28"/>
          <w:szCs w:val="28"/>
          <w:highlight w:val="white"/>
        </w:rPr>
        <w:t xml:space="preserve">8</w:t>
      </w:r>
      <w:r>
        <w:rPr>
          <w:color w:val="000000" w:themeColor="text1"/>
          <w:sz w:val="28"/>
          <w:szCs w:val="28"/>
          <w:highlight w:val="white"/>
        </w:rPr>
        <w:t xml:space="preserve"> 091,9 тыс. руб., что в 2,5 раза превышает 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(3 266,1 тыс. руб.)</w:t>
      </w:r>
      <w:r>
        <w:rPr>
          <w:color w:val="000000" w:themeColor="text1"/>
          <w:sz w:val="28"/>
          <w:szCs w:val="28"/>
          <w:highlight w:val="white"/>
        </w:rPr>
        <w:t xml:space="preserve">   </w:t>
      </w:r>
      <w:r>
        <w:rPr>
          <w:color w:val="000000" w:themeColor="text1"/>
          <w:sz w:val="28"/>
          <w:szCs w:val="28"/>
          <w:highlight w:val="white"/>
        </w:rPr>
        <w:t xml:space="preserve"> и сос</w:t>
      </w:r>
      <w:r>
        <w:rPr>
          <w:color w:val="000000" w:themeColor="text1"/>
          <w:sz w:val="28"/>
          <w:szCs w:val="28"/>
          <w:highlight w:val="white"/>
        </w:rPr>
        <w:t xml:space="preserve">тавляет 73,3 % к плану года (11 046,9 тыс. 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отчетного периода обусловлено поступлением авансовых платежей, а также задолженности по договорам на размещение нестационарных торговых объектов.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rFonts w:eastAsia="Calibri"/>
          <w:color w:val="000000" w:themeColor="text1"/>
          <w:sz w:val="24"/>
          <w:szCs w:val="24"/>
          <w:highlight w:val="white"/>
        </w:rPr>
        <w:outlineLvl w:val="0"/>
      </w:pPr>
      <w:r>
        <w:rPr>
          <w:rFonts w:eastAsia="Calibri"/>
          <w:color w:val="000000" w:themeColor="text1"/>
          <w:sz w:val="24"/>
          <w:szCs w:val="24"/>
          <w:highlight w:val="white"/>
        </w:rPr>
      </w:r>
      <w:r>
        <w:rPr>
          <w:rFonts w:eastAsia="Calibri"/>
          <w:color w:val="000000" w:themeColor="text1"/>
          <w:sz w:val="24"/>
          <w:szCs w:val="24"/>
          <w:highlight w:val="white"/>
        </w:rPr>
      </w:r>
      <w:r>
        <w:rPr>
          <w:rFonts w:eastAsia="Calibri"/>
          <w:color w:val="000000" w:themeColor="text1"/>
          <w:sz w:val="24"/>
          <w:szCs w:val="24"/>
          <w:highlight w:val="white"/>
        </w:rPr>
      </w:r>
    </w:p>
    <w:p>
      <w:pPr>
        <w:ind w:firstLine="567"/>
        <w:spacing w:line="240" w:lineRule="atLeast"/>
        <w:tabs>
          <w:tab w:val="left" w:pos="0" w:leader="none"/>
          <w:tab w:val="left" w:pos="900" w:leader="none"/>
        </w:tabs>
        <w:rPr>
          <w:rFonts w:eastAsia="Calibri"/>
          <w:color w:val="000000" w:themeColor="text1"/>
          <w:sz w:val="28"/>
          <w:szCs w:val="28"/>
          <w:highlight w:val="white"/>
        </w:rPr>
      </w:pP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br/>
        <w:t xml:space="preserve">38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898,4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3,3 раза превышает план отчетного периода (11 890,6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                        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тыс.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руб.) и </w:t>
      </w:r>
      <w:r>
        <w:rPr>
          <w:color w:val="000000" w:themeColor="text1"/>
          <w:sz w:val="28"/>
          <w:szCs w:val="28"/>
          <w:highlight w:val="white"/>
        </w:rPr>
        <w:t xml:space="preserve">в 1,6 раза превышает план года (24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461,7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плата за негативное воздействие на окружающую среду,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администрируемая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Западно-Уральским</w:t>
      </w:r>
      <w:r>
        <w:rPr>
          <w:i/>
          <w:color w:val="000000" w:themeColor="text1"/>
          <w:sz w:val="28"/>
          <w:szCs w:val="28"/>
          <w:highlight w:val="white"/>
        </w:rPr>
        <w:t xml:space="preserve"> межрегиональным управлением </w:t>
      </w:r>
      <w:r>
        <w:rPr>
          <w:i/>
          <w:color w:val="000000" w:themeColor="text1"/>
          <w:sz w:val="28"/>
          <w:szCs w:val="28"/>
          <w:highlight w:val="white"/>
        </w:rPr>
        <w:t xml:space="preserve">Росприроднадзора</w:t>
      </w:r>
      <w:r>
        <w:rPr>
          <w:i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поступила </w:t>
      </w:r>
      <w:r>
        <w:rPr>
          <w:color w:val="000000" w:themeColor="text1"/>
          <w:sz w:val="28"/>
          <w:szCs w:val="28"/>
          <w:highlight w:val="white"/>
        </w:rPr>
        <w:t xml:space="preserve">              </w:t>
      </w:r>
      <w:r>
        <w:rPr>
          <w:color w:val="000000" w:themeColor="text1"/>
          <w:sz w:val="28"/>
          <w:szCs w:val="28"/>
          <w:highlight w:val="white"/>
        </w:rPr>
        <w:t xml:space="preserve">в сумме 37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649,2</w:t>
      </w:r>
      <w:r>
        <w:rPr>
          <w:color w:val="000000" w:themeColor="text1"/>
          <w:sz w:val="28"/>
          <w:szCs w:val="28"/>
          <w:highlight w:val="white"/>
        </w:rPr>
        <w:t xml:space="preserve"> 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3,5 раза превышает план отчетного периода (10 686,3 тыс. руб.) и </w:t>
      </w:r>
      <w:r>
        <w:rPr>
          <w:color w:val="000000" w:themeColor="text1"/>
          <w:sz w:val="28"/>
          <w:szCs w:val="28"/>
          <w:highlight w:val="white"/>
        </w:rPr>
        <w:t xml:space="preserve">в 1,8 раза превышает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плана года (</w:t>
      </w:r>
      <w:r>
        <w:rPr>
          <w:color w:val="000000" w:themeColor="text1"/>
          <w:sz w:val="28"/>
          <w:szCs w:val="28"/>
          <w:highlight w:val="white"/>
        </w:rPr>
        <w:t xml:space="preserve">21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37</w:t>
      </w:r>
      <w:r>
        <w:rPr>
          <w:color w:val="000000" w:themeColor="text1"/>
          <w:sz w:val="28"/>
          <w:szCs w:val="28"/>
          <w:highlight w:val="white"/>
        </w:rPr>
        <w:t xml:space="preserve">3,0 т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Перевыполнение плана обусловлено перечислениями крупнейших плательщиков по представленным декларациям за 2024 год;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</w:pP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eastAsia="Calibri"/>
          <w:b/>
          <w:bCs/>
          <w:i/>
          <w:color w:val="000000" w:themeColor="text1"/>
          <w:sz w:val="28"/>
          <w:szCs w:val="28"/>
          <w:highlight w:val="white"/>
        </w:rPr>
        <w:t xml:space="preserve">плата за использование лесов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, администрируемая управлением по экологии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                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 и природопользованию,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поступила в сумме 1 249,2 тыс. руб., что составляет 103,7 %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             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к плану отчетного периода (1 204,3 тыс. руб.) и 40,4 % к плану года (3 088,7 тыс. руб.).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Перевыполнение плана обусловлено досрочной оплатой по договорам аренды лесного участка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num" w:pos="0" w:leader="none"/>
          <w:tab w:val="left" w:pos="709" w:leader="none"/>
        </w:tabs>
        <w:rPr>
          <w:b/>
          <w:bCs/>
          <w:color w:val="7030a0"/>
          <w:sz w:val="20"/>
          <w:szCs w:val="28"/>
          <w:highlight w:val="white"/>
        </w:rPr>
      </w:pPr>
      <w:r>
        <w:rPr>
          <w:b/>
          <w:bCs/>
          <w:color w:val="7030a0"/>
          <w:sz w:val="20"/>
          <w:szCs w:val="28"/>
          <w:highlight w:val="white"/>
        </w:rPr>
      </w:r>
      <w:r>
        <w:rPr>
          <w:b/>
          <w:bCs/>
          <w:color w:val="7030a0"/>
          <w:sz w:val="20"/>
          <w:szCs w:val="28"/>
          <w:highlight w:val="white"/>
        </w:rPr>
      </w:r>
      <w:r>
        <w:rPr>
          <w:b/>
          <w:bCs/>
          <w:color w:val="7030a0"/>
          <w:sz w:val="20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оказания платных услуг (работ) и компенсации затрат государства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2 215 917,0 тыс. руб., что составляет 100,0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 (2 215 915,6 тыс. руб.) и 39,5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года (5 605 468,0 тыс. руб.).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реализации проездных документов отдельным категориям граждан города Перми,</w:t>
      </w:r>
      <w:r>
        <w:rPr>
          <w:i/>
          <w:color w:val="000000" w:themeColor="text1"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</w:rPr>
        <w:t xml:space="preserve">284 515,9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95,7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</w:rPr>
        <w:t xml:space="preserve">297 355,1</w:t>
      </w:r>
      <w:r>
        <w:rPr>
          <w:color w:val="000000" w:themeColor="text1"/>
          <w:sz w:val="28"/>
          <w:szCs w:val="28"/>
          <w:highlight w:val="white"/>
        </w:rPr>
        <w:t xml:space="preserve"> тыс. руб.) и 43,5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года (653 882,1 тыс. руб.);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реализации единых проездных документов,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</w:rPr>
        <w:t xml:space="preserve">210 054,9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109,5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              </w:t>
      </w:r>
      <w:r>
        <w:rPr>
          <w:color w:val="000000" w:themeColor="text1"/>
          <w:sz w:val="28"/>
          <w:szCs w:val="28"/>
          <w:highlight w:val="white"/>
        </w:rPr>
        <w:t xml:space="preserve"> к плану отчетного периода (</w:t>
      </w:r>
      <w:r>
        <w:rPr>
          <w:color w:val="000000" w:themeColor="text1"/>
          <w:sz w:val="28"/>
        </w:rPr>
        <w:t xml:space="preserve">191 843,0</w:t>
      </w:r>
      <w:r>
        <w:rPr>
          <w:color w:val="000000" w:themeColor="text1"/>
          <w:sz w:val="28"/>
          <w:szCs w:val="28"/>
          <w:highlight w:val="white"/>
        </w:rPr>
        <w:t xml:space="preserve"> тыс. руб.) и 49,6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года (423 200,8</w:t>
      </w:r>
      <w:r>
        <w:rPr>
          <w:color w:val="000000" w:themeColor="text1"/>
          <w:sz w:val="28"/>
          <w:szCs w:val="28"/>
          <w:highlight w:val="white"/>
        </w:rPr>
        <w:t xml:space="preserve">                     </w:t>
      </w:r>
      <w:r>
        <w:rPr>
          <w:color w:val="000000" w:themeColor="text1"/>
          <w:sz w:val="28"/>
          <w:szCs w:val="28"/>
          <w:highlight w:val="white"/>
        </w:rPr>
        <w:t xml:space="preserve"> тыс. руб.);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перечисления платы за проезд пассажиров и провоз багажа,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транспорта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 </w:t>
      </w:r>
      <w:r>
        <w:rPr>
          <w:color w:val="000000" w:themeColor="text1"/>
          <w:sz w:val="28"/>
        </w:rPr>
        <w:t xml:space="preserve">1 683 600,3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                    </w:t>
      </w:r>
      <w:r>
        <w:rPr>
          <w:color w:val="000000" w:themeColor="text1"/>
          <w:sz w:val="28"/>
          <w:szCs w:val="28"/>
          <w:highlight w:val="white"/>
        </w:rPr>
        <w:t xml:space="preserve">тыс. руб., или 97,6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 (</w:t>
      </w:r>
      <w:r>
        <w:rPr>
          <w:color w:val="000000" w:themeColor="text1"/>
          <w:sz w:val="28"/>
        </w:rPr>
        <w:t xml:space="preserve">1 724 637,8</w:t>
      </w:r>
      <w:r>
        <w:rPr>
          <w:color w:val="000000" w:themeColor="text1"/>
          <w:sz w:val="28"/>
          <w:szCs w:val="28"/>
          <w:highlight w:val="white"/>
        </w:rPr>
        <w:t xml:space="preserve"> тыс. руб.) и 37,3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                         </w:t>
      </w:r>
      <w:r>
        <w:rPr>
          <w:color w:val="000000" w:themeColor="text1"/>
          <w:sz w:val="28"/>
          <w:szCs w:val="28"/>
          <w:highlight w:val="white"/>
        </w:rPr>
        <w:t xml:space="preserve"> к плану года (4 515 290,6 тыс. 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целом по доходам от платы за проезд выполнение составило 98,4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</w:t>
      </w:r>
      <w:r>
        <w:rPr>
          <w:bCs/>
          <w:color w:val="000000" w:themeColor="text1"/>
          <w:sz w:val="28"/>
          <w:szCs w:val="28"/>
          <w:highlight w:val="white"/>
        </w:rPr>
        <w:t xml:space="preserve">от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периода.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20"/>
          <w:szCs w:val="24"/>
          <w:highlight w:val="white"/>
        </w:rPr>
      </w:pPr>
      <w:r>
        <w:rPr>
          <w:color w:val="000000" w:themeColor="text1"/>
          <w:sz w:val="20"/>
          <w:szCs w:val="24"/>
          <w:highlight w:val="white"/>
        </w:rPr>
      </w:r>
      <w:r>
        <w:rPr>
          <w:color w:val="000000" w:themeColor="text1"/>
          <w:sz w:val="20"/>
          <w:szCs w:val="24"/>
          <w:highlight w:val="white"/>
        </w:rPr>
      </w:r>
      <w:r>
        <w:rPr>
          <w:color w:val="000000" w:themeColor="text1"/>
          <w:sz w:val="20"/>
          <w:szCs w:val="24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продажи земельных участков, государственная собственность</w:t>
      </w:r>
      <w:r>
        <w:rPr>
          <w:b/>
          <w:color w:val="000000" w:themeColor="text1"/>
          <w:sz w:val="28"/>
          <w:szCs w:val="28"/>
          <w:highlight w:val="white"/>
        </w:rPr>
        <w:t xml:space="preserve">                    </w:t>
      </w:r>
      <w:r>
        <w:rPr>
          <w:b/>
          <w:color w:val="000000" w:themeColor="text1"/>
          <w:sz w:val="28"/>
          <w:szCs w:val="28"/>
          <w:highlight w:val="white"/>
        </w:rPr>
        <w:t xml:space="preserve"> на которых не разграничена,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</w:rPr>
        <w:t xml:space="preserve">69 202,2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97,4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 (</w:t>
      </w:r>
      <w:r>
        <w:rPr>
          <w:color w:val="000000" w:themeColor="text1"/>
          <w:sz w:val="28"/>
        </w:rPr>
        <w:t xml:space="preserve">71 030,0</w:t>
      </w:r>
      <w:r>
        <w:rPr>
          <w:color w:val="000000" w:themeColor="text1"/>
          <w:sz w:val="28"/>
          <w:szCs w:val="28"/>
          <w:highlight w:val="white"/>
        </w:rPr>
        <w:t xml:space="preserve"> тыс. руб.) и 34,1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плану года (202 788,7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num" w:pos="0" w:leader="none"/>
          <w:tab w:val="left" w:pos="709" w:leader="none"/>
        </w:tabs>
        <w:rPr>
          <w:b/>
          <w:color w:val="7030a0"/>
          <w:sz w:val="20"/>
          <w:szCs w:val="24"/>
          <w:highlight w:val="white"/>
        </w:rPr>
      </w:pPr>
      <w:r>
        <w:rPr>
          <w:b/>
          <w:color w:val="7030a0"/>
          <w:sz w:val="20"/>
          <w:szCs w:val="24"/>
          <w:highlight w:val="white"/>
        </w:rPr>
      </w:r>
      <w:r>
        <w:rPr>
          <w:b/>
          <w:color w:val="7030a0"/>
          <w:sz w:val="20"/>
          <w:szCs w:val="24"/>
          <w:highlight w:val="white"/>
        </w:rPr>
      </w:r>
      <w:r>
        <w:rPr>
          <w:b/>
          <w:color w:val="7030a0"/>
          <w:sz w:val="20"/>
          <w:szCs w:val="24"/>
          <w:highlight w:val="white"/>
        </w:rPr>
      </w:r>
    </w:p>
    <w:p>
      <w:pPr>
        <w:ind w:firstLine="709"/>
        <w:spacing w:line="240" w:lineRule="atLeast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</w:t>
      </w:r>
      <w:r>
        <w:rPr>
          <w:b/>
          <w:color w:val="000000" w:themeColor="text1"/>
          <w:sz w:val="28"/>
          <w:szCs w:val="28"/>
          <w:highlight w:val="white"/>
        </w:rPr>
        <w:t xml:space="preserve">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                     на которых не разграничена,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размере </w:t>
      </w:r>
      <w:r>
        <w:rPr>
          <w:color w:val="000000" w:themeColor="text1"/>
          <w:sz w:val="28"/>
        </w:rPr>
        <w:t xml:space="preserve">31 215,6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111,1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</w:t>
      </w:r>
      <w:r>
        <w:rPr>
          <w:color w:val="000000" w:themeColor="text1"/>
          <w:sz w:val="28"/>
          <w:szCs w:val="28"/>
          <w:highlight w:val="white"/>
        </w:rPr>
        <w:t xml:space="preserve">от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периода (</w:t>
      </w:r>
      <w:r>
        <w:rPr>
          <w:color w:val="000000" w:themeColor="text1"/>
          <w:sz w:val="28"/>
        </w:rPr>
        <w:t xml:space="preserve">28 100,0</w:t>
      </w:r>
      <w:r>
        <w:rPr>
          <w:color w:val="000000" w:themeColor="text1"/>
          <w:sz w:val="28"/>
          <w:szCs w:val="28"/>
          <w:highlight w:val="white"/>
        </w:rPr>
        <w:t xml:space="preserve"> тыс. руб.) и 32,2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к </w:t>
      </w:r>
      <w:r>
        <w:rPr>
          <w:color w:val="000000" w:themeColor="text1"/>
          <w:sz w:val="28"/>
          <w:szCs w:val="28"/>
        </w:rPr>
        <w:t xml:space="preserve">уточненному </w:t>
      </w:r>
      <w:r>
        <w:rPr>
          <w:color w:val="000000" w:themeColor="text1"/>
          <w:sz w:val="28"/>
          <w:szCs w:val="28"/>
          <w:highlight w:val="white"/>
        </w:rPr>
        <w:t xml:space="preserve">плану года (96 901,9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num" w:pos="0" w:leader="none"/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о сравнению с аналогичным перио</w:t>
      </w:r>
      <w:r>
        <w:rPr>
          <w:color w:val="000000" w:themeColor="text1"/>
          <w:sz w:val="28"/>
          <w:szCs w:val="28"/>
          <w:highlight w:val="white"/>
        </w:rPr>
        <w:t xml:space="preserve">дом прошлого года поступления уменьшились на 39 621,9 тыс. руб. Поступление средств от продажи земельных участков носит заявительный характер.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tLeast"/>
        <w:tabs>
          <w:tab w:val="left" w:pos="709" w:leader="none"/>
        </w:tabs>
        <w:rPr>
          <w:color w:val="000000" w:themeColor="text1"/>
          <w:sz w:val="20"/>
          <w:szCs w:val="20"/>
          <w:highlight w:val="white"/>
        </w:rPr>
        <w:outlineLvl w:val="0"/>
      </w:pP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  <w:r>
        <w:rPr>
          <w:color w:val="000000" w:themeColor="text1"/>
          <w:sz w:val="20"/>
          <w:szCs w:val="20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находящегося в собственности городских округов,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имущественных отношений,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размере 29 794,5 тыс. руб., что в 1,3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(23 577,6 тыс. руб.) и составляет 35,2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% от уточненного плана года (84 753,8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</w:t>
      </w:r>
      <w:r>
        <w:rPr>
          <w:color w:val="000000" w:themeColor="text1"/>
          <w:sz w:val="28"/>
          <w:szCs w:val="28"/>
          <w:highlight w:val="white"/>
        </w:rPr>
        <w:t xml:space="preserve">                             по данному виду дохода составили 11,3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right="-1" w:firstLine="709"/>
        <w:spacing w:line="240" w:lineRule="atLeast"/>
        <w:widowControl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color w:val="000000" w:themeColor="text1"/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color w:val="000000" w:themeColor="text1"/>
          <w:sz w:val="28"/>
          <w:szCs w:val="28"/>
          <w:highlight w:val="white"/>
        </w:rPr>
        <w:t xml:space="preserve">поступили доходы в сумме </w:t>
      </w:r>
      <w:r>
        <w:rPr>
          <w:color w:val="000000" w:themeColor="text1"/>
          <w:sz w:val="28"/>
          <w:szCs w:val="28"/>
          <w:highlight w:val="white"/>
        </w:rPr>
        <w:br/>
        <w:t xml:space="preserve">13 286,9 тыс. руб., что в 1,4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(9 454,3 тыс. руб.) и составляет 29,1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% от уточненного плана года (45 675,1 тыс. 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right="-1" w:firstLine="709"/>
        <w:spacing w:line="240" w:lineRule="atLeast"/>
        <w:widowControl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bCs/>
          <w:color w:val="000000" w:themeColor="text1"/>
          <w:sz w:val="28"/>
          <w:szCs w:val="28"/>
          <w:highlight w:val="white"/>
        </w:rPr>
        <w:t xml:space="preserve">Перевыполнение плана отчетного периода обусловлено реализацией муниципального имущества по цене выше запланированной.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right="-1" w:firstLine="709"/>
        <w:spacing w:line="240" w:lineRule="atLeast"/>
        <w:widowControl/>
        <w:rPr>
          <w:rFonts w:eastAsia="Calibri"/>
          <w:color w:val="000000" w:themeColor="text1"/>
          <w:sz w:val="28"/>
          <w:szCs w:val="28"/>
          <w:highlight w:val="white"/>
        </w:rPr>
      </w:pP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 доходы поступили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16 507,5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color w:val="000000" w:themeColor="text1"/>
          <w:sz w:val="28"/>
          <w:szCs w:val="28"/>
          <w:highlight w:val="white"/>
        </w:rPr>
        <w:t xml:space="preserve">что в 1,2 раза превышает план отчетного периода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(13 822,2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                         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тыс. руб.) и составляет 42,8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% от плана года (38 597,7 тыс. руб.). Перевыполнение плана отчетного периода обусловлено досрочной оплатой по договорам купли-продажи, заключенным с рассрочкой платежа, и заключением договора купли-продажи с единовременной оплатой.</w:t>
      </w:r>
      <w:r>
        <w:rPr>
          <w:rFonts w:eastAsia="Calibri"/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</w:r>
    </w:p>
    <w:p>
      <w:pPr>
        <w:ind w:right="-1" w:firstLine="709"/>
        <w:spacing w:line="240" w:lineRule="atLeast"/>
        <w:widowControl/>
        <w:rPr>
          <w:rFonts w:eastAsia="Calibri"/>
          <w:color w:val="000000" w:themeColor="text1"/>
          <w:sz w:val="22"/>
          <w:szCs w:val="28"/>
          <w:highlight w:val="white"/>
        </w:rPr>
      </w:pPr>
      <w:r>
        <w:rPr>
          <w:rFonts w:eastAsia="Calibri"/>
          <w:color w:val="000000" w:themeColor="text1"/>
          <w:sz w:val="22"/>
          <w:szCs w:val="28"/>
          <w:highlight w:val="white"/>
        </w:rPr>
      </w:r>
      <w:r>
        <w:rPr>
          <w:rFonts w:eastAsia="Calibri"/>
          <w:color w:val="000000" w:themeColor="text1"/>
          <w:sz w:val="22"/>
          <w:szCs w:val="28"/>
          <w:highlight w:val="white"/>
        </w:rPr>
      </w:r>
      <w:r>
        <w:rPr>
          <w:rFonts w:eastAsia="Calibri"/>
          <w:color w:val="000000" w:themeColor="text1"/>
          <w:sz w:val="22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Прочие неналоговые доходы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79 631,6 тыс. руб., что в 2,9 раза превышает план отчетного периода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(27 300,0 тыс. руб.) и составляет 68,6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%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                        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к плану года (116 000,6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  <w:tab w:val="left" w:pos="709" w:leader="none"/>
          <w:tab w:val="left" w:pos="900" w:leader="none"/>
        </w:tabs>
        <w:rPr>
          <w:color w:val="00000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709"/>
        <w:spacing w:line="240" w:lineRule="atLeast"/>
        <w:tabs>
          <w:tab w:val="num" w:pos="0" w:leader="none"/>
          <w:tab w:val="left" w:pos="709" w:leader="none"/>
        </w:tabs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- восстановительная стоимость зеленых насаждений,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администрируемая управлением по экологии и природопользованию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поступила в сумме 13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048,4 тыс. руб., что в 2,4 раза превышает план отчетного периода (5 400,0 тыс. руб.) и составляет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                 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25,8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% от плана года (50 550,3 тыс. руб.).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поступлениями от крупных предприятий в сфере строительства;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tabs>
          <w:tab w:val="left" w:pos="0" w:leader="none"/>
        </w:tabs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- плата за фактическое пользование земельными участками, до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разграничения государственной собственности на землю,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 администрируемая департаментом земельных отношений,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поступила в сумме 27 965,1 тыс. руб.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white"/>
        </w:rPr>
        <w:t xml:space="preserve">,                        что н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а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27,7 %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превышает план отчетного периода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(21 900,0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тыс.руб.)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и составляет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42,7 %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от годового планового задания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 (65 450,3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тыс. руб.).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jc w:val="center"/>
        <w:spacing w:line="240" w:lineRule="atLeast"/>
        <w:rPr>
          <w:b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ИСПОЛНЕНИЕ БЮДЖЕТА ПО РАСХОДАМ</w:t>
      </w: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</w:r>
    </w:p>
    <w:p>
      <w:pPr>
        <w:ind w:firstLine="360"/>
        <w:jc w:val="center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  <w:szCs w:val="28"/>
          <w:highlight w:val="white"/>
        </w:rPr>
        <w:t xml:space="preserve">приложение 2 к настоящей записке)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Кассовые расходы бюджета (без учёта зарезервированных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средств:</w:t>
      </w:r>
      <w:r>
        <w:rPr>
          <w:color w:val="000000" w:themeColor="text1"/>
          <w:sz w:val="28"/>
          <w:szCs w:val="28"/>
          <w:highlight w:val="white"/>
        </w:rPr>
        <w:t xml:space="preserve">   </w:t>
      </w:r>
      <w:r>
        <w:rPr>
          <w:color w:val="000000" w:themeColor="text1"/>
          <w:sz w:val="28"/>
          <w:szCs w:val="28"/>
          <w:highlight w:val="white"/>
        </w:rPr>
        <w:t xml:space="preserve">                                   </w:t>
      </w:r>
      <w:r>
        <w:rPr>
          <w:color w:val="000000" w:themeColor="text1"/>
          <w:sz w:val="28"/>
          <w:szCs w:val="28"/>
          <w:highlight w:val="white"/>
        </w:rPr>
        <w:t xml:space="preserve">на исполнение судебных исков, резервного фонда администрации города) на 1 июня 2025 года составил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21 872 151,4 </w:t>
      </w:r>
      <w:r>
        <w:rPr>
          <w:color w:val="000000" w:themeColor="text1"/>
          <w:sz w:val="28"/>
          <w:szCs w:val="28"/>
          <w:highlight w:val="white"/>
        </w:rPr>
        <w:t xml:space="preserve">тыс. руб., или </w:t>
      </w:r>
      <w:r>
        <w:rPr>
          <w:b/>
          <w:color w:val="000000" w:themeColor="text1"/>
          <w:sz w:val="28"/>
          <w:szCs w:val="28"/>
          <w:highlight w:val="white"/>
        </w:rPr>
        <w:t xml:space="preserve">9</w:t>
      </w:r>
      <w:r>
        <w:rPr>
          <w:b/>
          <w:sz w:val="28"/>
          <w:szCs w:val="28"/>
          <w:highlight w:val="white"/>
        </w:rPr>
        <w:t xml:space="preserve">5,5 % </w:t>
      </w:r>
      <w:r>
        <w:rPr>
          <w:sz w:val="28"/>
          <w:szCs w:val="28"/>
          <w:highlight w:val="white"/>
        </w:rPr>
        <w:t xml:space="preserve">от кассового плана отчетного периода (22 906 608,6 тыс. руб.) и </w:t>
      </w:r>
      <w:r>
        <w:rPr>
          <w:b/>
          <w:sz w:val="28"/>
          <w:szCs w:val="28"/>
          <w:highlight w:val="white"/>
        </w:rPr>
        <w:t xml:space="preserve">33,0 % </w:t>
      </w:r>
      <w:r>
        <w:rPr>
          <w:sz w:val="28"/>
          <w:szCs w:val="28"/>
          <w:highlight w:val="white"/>
        </w:rPr>
        <w:t xml:space="preserve">от годовы</w:t>
      </w:r>
      <w:r>
        <w:rPr>
          <w:color w:val="000000" w:themeColor="text1"/>
          <w:sz w:val="28"/>
          <w:szCs w:val="28"/>
          <w:highlight w:val="white"/>
        </w:rPr>
        <w:t xml:space="preserve">х ассигнований (66 364 755,2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              тыс. руб.). Исполнение по расходам за январь-май 2024 года составляло 19 150 464,2 тыс.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руб., и</w:t>
      </w:r>
      <w:r>
        <w:rPr>
          <w:sz w:val="28"/>
          <w:szCs w:val="28"/>
          <w:highlight w:val="white"/>
        </w:rPr>
        <w:t xml:space="preserve">ли </w:t>
      </w:r>
      <w:r>
        <w:rPr>
          <w:b/>
          <w:bCs/>
          <w:sz w:val="28"/>
          <w:szCs w:val="28"/>
          <w:highlight w:val="white"/>
        </w:rPr>
        <w:t xml:space="preserve">94,9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кассового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периода 2024 года и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34,6 %      </w:t>
      </w:r>
      <w:r>
        <w:rPr>
          <w:b/>
          <w:color w:val="000000" w:themeColor="text1"/>
          <w:sz w:val="28"/>
          <w:szCs w:val="28"/>
          <w:highlight w:val="white"/>
        </w:rPr>
        <w:t xml:space="preserve">             </w:t>
      </w:r>
      <w:r>
        <w:rPr>
          <w:color w:val="000000" w:themeColor="text1"/>
          <w:sz w:val="28"/>
          <w:szCs w:val="28"/>
          <w:highlight w:val="white"/>
        </w:rPr>
        <w:t xml:space="preserve">от годовых ассигнований.     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  <w:highlight w:val="white"/>
        </w:rPr>
        <w:t xml:space="preserve">Расходная часть бюджета за январь-май 2025 года в разрезе источников финансирования исполнена следующим образом.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tLeast"/>
        <w:rPr>
          <w:color w:val="000000" w:themeColor="text1"/>
          <w:sz w:val="20"/>
          <w:szCs w:val="16"/>
          <w:highlight w:val="white"/>
        </w:rPr>
      </w:pPr>
      <w:r>
        <w:rPr>
          <w:color w:val="000000" w:themeColor="text1"/>
          <w:sz w:val="20"/>
          <w:szCs w:val="16"/>
          <w:highlight w:val="white"/>
        </w:rPr>
      </w:r>
      <w:r>
        <w:rPr>
          <w:color w:val="000000" w:themeColor="text1"/>
          <w:sz w:val="20"/>
          <w:szCs w:val="16"/>
          <w:highlight w:val="white"/>
        </w:rPr>
      </w:r>
      <w:r>
        <w:rPr>
          <w:color w:val="000000" w:themeColor="text1"/>
          <w:sz w:val="20"/>
          <w:szCs w:val="16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b/>
          <w:bCs/>
          <w:sz w:val="20"/>
          <w:szCs w:val="20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2.1. за счет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color w:val="000000" w:themeColor="text1"/>
          <w:sz w:val="28"/>
          <w:szCs w:val="28"/>
          <w:highlight w:val="white"/>
        </w:rPr>
        <w:t xml:space="preserve">- кассовое исполнение составля</w:t>
      </w:r>
      <w:r>
        <w:rPr>
          <w:sz w:val="28"/>
          <w:szCs w:val="28"/>
          <w:highlight w:val="white"/>
        </w:rPr>
        <w:t xml:space="preserve">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12 026 364,5 </w:t>
      </w:r>
      <w:r>
        <w:rPr>
          <w:sz w:val="28"/>
          <w:szCs w:val="28"/>
          <w:highlight w:val="white"/>
        </w:rPr>
        <w:t xml:space="preserve">тыс. руб., или </w:t>
      </w:r>
      <w:r>
        <w:rPr>
          <w:b/>
          <w:sz w:val="28"/>
          <w:szCs w:val="28"/>
          <w:highlight w:val="white"/>
        </w:rPr>
        <w:t xml:space="preserve">93,3 %</w:t>
      </w:r>
      <w:r>
        <w:rPr>
          <w:sz w:val="28"/>
          <w:szCs w:val="28"/>
          <w:highlight w:val="white"/>
        </w:rPr>
        <w:t xml:space="preserve"> от кассового плана отчетного периода –           12 884 507,8 тыс. руб. и </w:t>
      </w:r>
      <w:r>
        <w:rPr>
          <w:b/>
          <w:sz w:val="28"/>
          <w:szCs w:val="28"/>
          <w:highlight w:val="white"/>
        </w:rPr>
        <w:t xml:space="preserve">29,8 %</w:t>
      </w:r>
      <w:r>
        <w:rPr>
          <w:sz w:val="28"/>
          <w:szCs w:val="28"/>
          <w:highlight w:val="white"/>
        </w:rPr>
        <w:t xml:space="preserve"> от годовых а</w:t>
      </w:r>
      <w:r>
        <w:rPr>
          <w:color w:val="000000" w:themeColor="text1"/>
          <w:sz w:val="28"/>
          <w:szCs w:val="28"/>
          <w:highlight w:val="white"/>
        </w:rPr>
        <w:t xml:space="preserve">ссигнований. Исполнение расходов                      за январь-май 2024 года составляло 9 989 921,9 тыс. руб.,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  <w:highlight w:val="white"/>
        </w:rPr>
        <w:t xml:space="preserve">92,6 % </w:t>
      </w:r>
      <w:r>
        <w:rPr>
          <w:sz w:val="28"/>
          <w:szCs w:val="28"/>
          <w:highlight w:val="white"/>
        </w:rPr>
        <w:t xml:space="preserve">от кассового пла</w:t>
      </w:r>
      <w:r>
        <w:rPr>
          <w:sz w:val="28"/>
          <w:szCs w:val="28"/>
          <w:highlight w:val="white"/>
        </w:rPr>
        <w:t xml:space="preserve">на отчетного периода 2024 года и </w:t>
      </w:r>
      <w:r>
        <w:rPr>
          <w:b/>
          <w:sz w:val="28"/>
          <w:szCs w:val="28"/>
          <w:highlight w:val="white"/>
        </w:rPr>
        <w:t xml:space="preserve">32,1 %</w:t>
      </w:r>
      <w:r>
        <w:rPr>
          <w:sz w:val="28"/>
          <w:szCs w:val="28"/>
          <w:highlight w:val="white"/>
        </w:rPr>
        <w:t xml:space="preserve"> от годовых ассигнований.    </w:t>
      </w:r>
      <w:r>
        <w:rPr>
          <w:b/>
          <w:bCs/>
          <w:sz w:val="20"/>
          <w:szCs w:val="20"/>
          <w:highlight w:val="white"/>
        </w:rPr>
      </w:r>
      <w:r>
        <w:rPr>
          <w:b/>
          <w:bCs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right" w:pos="10488" w:leader="none"/>
        </w:tabs>
        <w:rPr>
          <w:b/>
          <w:bCs/>
          <w:color w:val="000000" w:themeColor="text1"/>
          <w:sz w:val="20"/>
          <w:szCs w:val="20"/>
          <w:highlight w:val="white"/>
        </w:rPr>
        <w:suppressLineNumbers w:val="0"/>
      </w:pPr>
      <w:r>
        <w:rPr>
          <w:b/>
          <w:bCs/>
          <w:color w:val="000000" w:themeColor="text1"/>
          <w:sz w:val="14"/>
          <w:szCs w:val="14"/>
          <w:highlight w:val="white"/>
        </w:rPr>
        <w:t xml:space="preserve">           </w:t>
      </w:r>
      <w:r>
        <w:rPr>
          <w:b/>
          <w:bCs/>
          <w:color w:val="000000" w:themeColor="text1"/>
          <w:sz w:val="20"/>
          <w:szCs w:val="20"/>
          <w:highlight w:val="white"/>
        </w:rPr>
        <w:t xml:space="preserve">                                                                                                       </w:t>
      </w:r>
      <w:r>
        <w:rPr>
          <w:b/>
          <w:bCs/>
          <w:color w:val="000000" w:themeColor="text1"/>
          <w:sz w:val="20"/>
          <w:szCs w:val="20"/>
          <w:highlight w:val="white"/>
        </w:rPr>
        <w:tab/>
      </w:r>
      <w:r>
        <w:rPr>
          <w:b/>
          <w:bCs/>
          <w:color w:val="000000" w:themeColor="text1"/>
          <w:sz w:val="20"/>
          <w:szCs w:val="20"/>
          <w:highlight w:val="white"/>
        </w:rPr>
      </w:r>
      <w:r>
        <w:rPr>
          <w:b/>
          <w:bCs/>
          <w:color w:val="000000" w:themeColor="text1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2.2. за счет средств, выделенных на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государственных полномочий, -</w:t>
      </w:r>
      <w:r>
        <w:rPr>
          <w:color w:val="000000" w:themeColor="text1"/>
          <w:sz w:val="28"/>
          <w:szCs w:val="28"/>
          <w:highlight w:val="white"/>
        </w:rPr>
        <w:t xml:space="preserve"> кассовое исполнение составля</w:t>
      </w:r>
      <w:r>
        <w:rPr>
          <w:sz w:val="28"/>
          <w:szCs w:val="28"/>
          <w:highlight w:val="white"/>
        </w:rPr>
        <w:t xml:space="preserve">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7 306 116,5</w:t>
      </w:r>
      <w:r>
        <w:rPr>
          <w:sz w:val="28"/>
          <w:szCs w:val="28"/>
          <w:highlight w:val="white"/>
        </w:rPr>
        <w:t xml:space="preserve"> тыс. руб., или </w:t>
      </w:r>
      <w:r>
        <w:rPr>
          <w:b/>
          <w:sz w:val="28"/>
          <w:szCs w:val="28"/>
          <w:highlight w:val="white"/>
        </w:rPr>
        <w:t xml:space="preserve">98,4 %                      </w:t>
      </w:r>
      <w:r>
        <w:rPr>
          <w:sz w:val="28"/>
          <w:szCs w:val="28"/>
          <w:highlight w:val="white"/>
        </w:rPr>
        <w:t xml:space="preserve">от кассового плана отчетного периода – 7 423 088,9 тыс. руб. и </w:t>
      </w:r>
      <w:r>
        <w:rPr>
          <w:b/>
          <w:sz w:val="28"/>
          <w:szCs w:val="28"/>
          <w:highlight w:val="white"/>
        </w:rPr>
        <w:t xml:space="preserve">43,5 %</w:t>
      </w:r>
      <w:r>
        <w:rPr>
          <w:sz w:val="28"/>
          <w:szCs w:val="28"/>
          <w:highlight w:val="white"/>
        </w:rPr>
        <w:t xml:space="preserve"> от годовы</w:t>
      </w:r>
      <w:r>
        <w:rPr>
          <w:color w:val="000000" w:themeColor="text1"/>
          <w:sz w:val="28"/>
          <w:szCs w:val="28"/>
          <w:highlight w:val="white"/>
        </w:rPr>
        <w:t xml:space="preserve">х ассигнований. Исполнение расходов за январь-май 2024 года составляло 6 115 773,6</w:t>
      </w:r>
      <w:r>
        <w:rPr>
          <w:color w:val="c0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руб., ил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99,0 %</w:t>
      </w:r>
      <w:r>
        <w:rPr>
          <w:sz w:val="28"/>
          <w:szCs w:val="28"/>
          <w:highlight w:val="white"/>
        </w:rPr>
        <w:t xml:space="preserve"> от кассового плана отчетного периода 2024 года и </w:t>
      </w:r>
      <w:r>
        <w:rPr>
          <w:b/>
          <w:bCs/>
          <w:sz w:val="28"/>
          <w:szCs w:val="28"/>
          <w:highlight w:val="white"/>
        </w:rPr>
        <w:t xml:space="preserve">42,6 </w:t>
      </w:r>
      <w:r>
        <w:rPr>
          <w:b/>
          <w:sz w:val="28"/>
          <w:szCs w:val="28"/>
          <w:highlight w:val="white"/>
        </w:rPr>
        <w:t xml:space="preserve">%             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 годовых ассигнов</w:t>
      </w:r>
      <w:r>
        <w:rPr>
          <w:color w:val="000000" w:themeColor="text1"/>
          <w:sz w:val="28"/>
          <w:szCs w:val="28"/>
          <w:highlight w:val="white"/>
        </w:rPr>
        <w:t xml:space="preserve">аний.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color w:val="000000" w:themeColor="text1"/>
          <w:sz w:val="16"/>
          <w:szCs w:val="16"/>
          <w:highlight w:val="white"/>
        </w:rPr>
      </w:pP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</w:p>
    <w:p>
      <w:pPr>
        <w:ind w:firstLine="720"/>
        <w:spacing w:line="240" w:lineRule="atLeast"/>
        <w:rPr>
          <w:sz w:val="28"/>
          <w:szCs w:val="28"/>
          <w:highlight w:val="white"/>
        </w:rPr>
      </w:pPr>
      <w:r>
        <w:rPr>
          <w:b/>
          <w:color w:val="000000" w:themeColor="text1"/>
          <w:sz w:val="28"/>
          <w:highlight w:val="white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color w:val="000000" w:themeColor="text1"/>
          <w:sz w:val="28"/>
          <w:szCs w:val="28"/>
          <w:highlight w:val="white"/>
        </w:rPr>
        <w:t xml:space="preserve">кассовое исполнение сост</w:t>
      </w:r>
      <w:r>
        <w:rPr>
          <w:sz w:val="28"/>
          <w:szCs w:val="28"/>
          <w:highlight w:val="white"/>
        </w:rPr>
        <w:t xml:space="preserve">авляет </w:t>
      </w:r>
      <w:r>
        <w:rPr>
          <w:b/>
          <w:bCs/>
          <w:sz w:val="28"/>
          <w:szCs w:val="28"/>
          <w:highlight w:val="white"/>
        </w:rPr>
        <w:t xml:space="preserve">2 539 670,4                       </w:t>
      </w:r>
      <w:r>
        <w:rPr>
          <w:sz w:val="28"/>
          <w:szCs w:val="28"/>
          <w:highlight w:val="white"/>
        </w:rPr>
        <w:t xml:space="preserve">тыс. руб., или </w:t>
      </w:r>
      <w:r>
        <w:rPr>
          <w:b/>
          <w:sz w:val="28"/>
          <w:szCs w:val="28"/>
          <w:highlight w:val="white"/>
        </w:rPr>
        <w:t xml:space="preserve">97,7 %</w:t>
      </w:r>
      <w:r>
        <w:rPr>
          <w:sz w:val="28"/>
          <w:szCs w:val="28"/>
          <w:highlight w:val="white"/>
        </w:rPr>
        <w:t xml:space="preserve"> от кассового плана отчетного периода – 2 599 011,9 тыс. руб.                       и </w:t>
      </w:r>
      <w:r>
        <w:rPr>
          <w:b/>
          <w:sz w:val="28"/>
          <w:szCs w:val="28"/>
          <w:highlight w:val="white"/>
        </w:rPr>
        <w:t xml:space="preserve">27,6 %</w:t>
      </w:r>
      <w:r>
        <w:rPr>
          <w:sz w:val="28"/>
          <w:szCs w:val="28"/>
          <w:highlight w:val="white"/>
        </w:rPr>
        <w:t xml:space="preserve"> от годовых ассигнований. Исполнение расходов за январь-май</w:t>
      </w:r>
      <w:r>
        <w:rPr>
          <w:color w:val="000000" w:themeColor="text1"/>
          <w:sz w:val="28"/>
          <w:szCs w:val="28"/>
          <w:highlight w:val="white"/>
        </w:rPr>
        <w:t xml:space="preserve"> 2024 года составля</w:t>
      </w:r>
      <w:r>
        <w:rPr>
          <w:sz w:val="28"/>
          <w:szCs w:val="28"/>
          <w:highlight w:val="white"/>
        </w:rPr>
        <w:t xml:space="preserve">ло 3 044 768,7 тыс. руб., или </w:t>
      </w:r>
      <w:r>
        <w:rPr>
          <w:b/>
          <w:bCs/>
          <w:sz w:val="28"/>
          <w:szCs w:val="28"/>
          <w:highlight w:val="white"/>
        </w:rPr>
        <w:t xml:space="preserve">94,5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кассового плана отчетного периода 2024 года и </w:t>
      </w:r>
      <w:r>
        <w:rPr>
          <w:b/>
          <w:sz w:val="28"/>
          <w:szCs w:val="28"/>
          <w:highlight w:val="white"/>
        </w:rPr>
        <w:t xml:space="preserve">31,2 % </w:t>
      </w:r>
      <w:r>
        <w:rPr>
          <w:sz w:val="28"/>
          <w:szCs w:val="28"/>
          <w:highlight w:val="white"/>
        </w:rPr>
        <w:t xml:space="preserve">от годовых ассигнований.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Расходная часть бюджета за январь-май 2025 года по источникам </w:t>
      </w:r>
      <w:r>
        <w:rPr>
          <w:color w:val="000000" w:themeColor="text1"/>
          <w:sz w:val="28"/>
          <w:szCs w:val="28"/>
          <w:highlight w:val="white"/>
        </w:rPr>
        <w:t xml:space="preserve">финансирования в разрезе главных распорядителей бюджетных средств исполнена следующим образом.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contextualSpacing w:val="0"/>
        <w:ind w:firstLine="709"/>
        <w:jc w:val="left"/>
        <w:spacing w:before="0" w:after="0" w:line="240" w:lineRule="auto"/>
        <w:rPr>
          <w:b/>
          <w:bCs/>
          <w:color w:val="000000" w:themeColor="text1"/>
          <w:sz w:val="28"/>
          <w:szCs w:val="28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2.1.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расходов местного бюджета: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contextualSpacing w:val="0"/>
        <w:jc w:val="left"/>
        <w:spacing w:before="0" w:after="0" w:line="240" w:lineRule="auto"/>
        <w:tabs>
          <w:tab w:val="num" w:pos="720" w:leader="none"/>
        </w:tabs>
        <w:rPr>
          <w:b/>
          <w:color w:val="000000" w:themeColor="text1"/>
          <w:sz w:val="16"/>
          <w:szCs w:val="16"/>
          <w:highlight w:val="white"/>
        </w:rPr>
        <w:suppressLineNumbers w:val="0"/>
      </w:pP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</w:p>
    <w:p>
      <w:pPr>
        <w:contextualSpacing w:val="0"/>
        <w:ind w:firstLine="709"/>
        <w:jc w:val="left"/>
        <w:spacing w:before="0" w:after="0"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выше 95,0 % </w:t>
      </w:r>
      <w:r>
        <w:rPr>
          <w:color w:val="000000" w:themeColor="text1"/>
          <w:sz w:val="28"/>
          <w:szCs w:val="28"/>
          <w:highlight w:val="white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left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департаментом образования – на уровне 99,9 %;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4"/>
        </w:numPr>
        <w:contextualSpacing w:val="0"/>
        <w:jc w:val="left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администрацией Орджоникидзевского района – на уровне 99,53 %;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contextualSpacing w:val="0"/>
        <w:jc w:val="left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комитетом по физической культуре и спорту – на уровне 99,47 %;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1"/>
        </w:numPr>
        <w:contextualSpacing w:val="0"/>
        <w:jc w:val="left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администрацией Индустриального района – на уровне 99,3 %;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1"/>
        </w:numPr>
        <w:contextualSpacing w:val="0"/>
        <w:jc w:val="left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департаментом социальной политики – на уровне 98,6 %;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1"/>
        </w:numPr>
        <w:contextualSpacing w:val="0"/>
        <w:jc w:val="left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департаментом финансов – на уровне 97,1 %;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9"/>
        </w:numPr>
        <w:contextualSpacing w:val="0"/>
        <w:jc w:val="left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</w:rPr>
        <w:t xml:space="preserve">департаментом градостроительства и архитектуры </w:t>
      </w:r>
      <w:r>
        <w:rPr>
          <w:sz w:val="28"/>
          <w:szCs w:val="28"/>
          <w:highlight w:val="white"/>
        </w:rPr>
        <w:t xml:space="preserve">– на уровне 96,1 %;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 w:val="0"/>
        <w:ind w:left="360"/>
        <w:jc w:val="left"/>
        <w:spacing w:before="0" w:after="0" w:line="240" w:lineRule="auto"/>
        <w:rPr>
          <w:color w:val="c00000"/>
          <w:sz w:val="16"/>
          <w:szCs w:val="16"/>
          <w:highlight w:val="white"/>
        </w:rPr>
        <w:suppressLineNumbers w:val="0"/>
      </w:pPr>
      <w:r>
        <w:rPr>
          <w:color w:val="c00000"/>
          <w:sz w:val="16"/>
          <w:szCs w:val="16"/>
          <w:highlight w:val="white"/>
        </w:rPr>
      </w:r>
      <w:r>
        <w:rPr>
          <w:color w:val="c00000"/>
          <w:sz w:val="16"/>
          <w:szCs w:val="16"/>
          <w:highlight w:val="white"/>
        </w:rPr>
      </w:r>
      <w:r>
        <w:rPr>
          <w:color w:val="c00000"/>
          <w:sz w:val="16"/>
          <w:szCs w:val="16"/>
          <w:highlight w:val="white"/>
        </w:rPr>
      </w:r>
    </w:p>
    <w:p>
      <w:pPr>
        <w:contextualSpacing w:val="0"/>
        <w:ind w:left="360"/>
        <w:jc w:val="left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highlight w:val="white"/>
        </w:rPr>
        <w:t xml:space="preserve">ниже уровня 95,0 %</w:t>
      </w:r>
      <w:r>
        <w:rPr>
          <w:color w:val="000000" w:themeColor="text1"/>
          <w:sz w:val="28"/>
          <w:highlight w:val="white"/>
        </w:rPr>
        <w:t xml:space="preserve"> сложилось исполнение </w:t>
      </w:r>
      <w:r>
        <w:rPr>
          <w:color w:val="000000" w:themeColor="text1"/>
          <w:sz w:val="28"/>
          <w:szCs w:val="28"/>
          <w:highlight w:val="white"/>
        </w:rPr>
        <w:t xml:space="preserve">у следующих главных распорядителей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jc w:val="left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бюджетных средств: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4"/>
        </w:numPr>
        <w:contextualSpacing w:val="0"/>
        <w:jc w:val="left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департамента культуры и молодежной политики – на уровне 94,9 %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3"/>
        </w:numPr>
        <w:contextualSpacing w:val="0"/>
        <w:jc w:val="left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highlight w:val="white"/>
        </w:rPr>
        <w:t xml:space="preserve">администрации Свердловского района – на уровне 94,1 </w:t>
      </w:r>
      <w:r>
        <w:rPr>
          <w:sz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города – на уровне 94,0 %;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3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общественной безопасности – на уровне 93,7 %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дорог и благоустройства – на уровне 93,5 %;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департамента транспорта </w:t>
      </w:r>
      <w:r>
        <w:rPr>
          <w:sz w:val="28"/>
          <w:szCs w:val="28"/>
          <w:highlight w:val="white"/>
        </w:rPr>
        <w:t xml:space="preserve">– на уровне 93,0 %;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8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Пермской городской Думы – на уровне 90,5 %;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9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  <w:highlight w:val="white"/>
        </w:rPr>
        <w:t xml:space="preserve">епартамента имущественных отношений – на уровне 89,8 %;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6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Кировского района – на уровне 89,5 %;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контрольно-счетной палаты </w:t>
      </w:r>
      <w:r>
        <w:rPr>
          <w:sz w:val="28"/>
          <w:szCs w:val="28"/>
          <w:highlight w:val="white"/>
        </w:rPr>
        <w:t xml:space="preserve">– на уровне 89,1 %;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tLeast"/>
        <w:tabs>
          <w:tab w:val="num" w:pos="7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управления жилищных отношений – на уровне 89,0 %;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Мотовилихинского района – на уровне 88,9 %;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контрольного департамента </w:t>
      </w:r>
      <w:r>
        <w:rPr>
          <w:sz w:val="28"/>
          <w:szCs w:val="28"/>
          <w:highlight w:val="white"/>
        </w:rPr>
        <w:t xml:space="preserve">– на уровне 87,6 %;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3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п. Новые </w:t>
      </w:r>
      <w:r>
        <w:rPr>
          <w:sz w:val="28"/>
          <w:szCs w:val="28"/>
          <w:highlight w:val="white"/>
        </w:rPr>
        <w:t xml:space="preserve">Ляды</w:t>
      </w:r>
      <w:r>
        <w:rPr>
          <w:sz w:val="28"/>
          <w:szCs w:val="28"/>
          <w:highlight w:val="white"/>
        </w:rPr>
        <w:t xml:space="preserve"> – на уровне 85,2 %;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3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Дзержинского района – на уровне 85,0 %;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земельных отношений – на уровне 80,8 %;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3"/>
        </w:numPr>
        <w:spacing w:line="240" w:lineRule="auto"/>
        <w:rPr>
          <w:color w:val="c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управления по экологии и природопользованию – на уровне 77,7 %;</w:t>
      </w:r>
      <w:r>
        <w:rPr>
          <w:color w:val="c00000"/>
          <w:sz w:val="28"/>
          <w:szCs w:val="28"/>
          <w:highlight w:val="white"/>
        </w:rPr>
      </w:r>
      <w:r>
        <w:rPr>
          <w:color w:val="c00000"/>
          <w:sz w:val="28"/>
          <w:szCs w:val="28"/>
          <w:highlight w:val="white"/>
        </w:rPr>
      </w:r>
    </w:p>
    <w:p>
      <w:pPr>
        <w:numPr>
          <w:ilvl w:val="0"/>
          <w:numId w:val="7"/>
        </w:numPr>
        <w:rPr>
          <w:color w:val="c00000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Ленинского района – на уровне 77,0 %;</w:t>
      </w:r>
      <w:r>
        <w:rPr>
          <w:color w:val="c00000"/>
          <w:sz w:val="28"/>
          <w:szCs w:val="28"/>
          <w:highlight w:val="white"/>
        </w:rPr>
      </w:r>
      <w:r>
        <w:rPr>
          <w:color w:val="c00000"/>
          <w:sz w:val="28"/>
          <w:szCs w:val="28"/>
          <w:highlight w:val="white"/>
        </w:rPr>
      </w:r>
    </w:p>
    <w:p>
      <w:pPr>
        <w:numPr>
          <w:ilvl w:val="0"/>
          <w:numId w:val="1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экономики и промышленной политики – на уровне 71,5 %;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8"/>
        </w:numPr>
        <w:contextualSpacing w:val="0"/>
        <w:jc w:val="both"/>
        <w:spacing w:before="0" w:after="0" w:line="240" w:lineRule="auto"/>
        <w:rPr>
          <w:color w:val="c00000"/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д</w:t>
      </w:r>
      <w:r>
        <w:rPr>
          <w:sz w:val="28"/>
          <w:szCs w:val="28"/>
          <w:highlight w:val="white"/>
        </w:rPr>
        <w:t xml:space="preserve">епартамента жилищно-коммунального хозяйства – на уровне 71,0 %</w:t>
      </w:r>
      <w:r>
        <w:rPr>
          <w:sz w:val="28"/>
          <w:szCs w:val="28"/>
        </w:rPr>
        <w:t xml:space="preserve">;</w:t>
      </w:r>
      <w:r>
        <w:rPr>
          <w:color w:val="c00000"/>
          <w:sz w:val="28"/>
          <w:szCs w:val="28"/>
          <w:highlight w:val="white"/>
        </w:rPr>
      </w:r>
      <w:r>
        <w:rPr>
          <w:color w:val="c00000"/>
          <w:sz w:val="28"/>
          <w:szCs w:val="28"/>
          <w:highlight w:val="white"/>
        </w:rPr>
      </w:r>
    </w:p>
    <w:p>
      <w:pPr>
        <w:numPr>
          <w:ilvl w:val="0"/>
          <w:numId w:val="5"/>
        </w:numPr>
        <w:contextualSpacing w:val="0"/>
        <w:jc w:val="both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</w:rPr>
        <w:t xml:space="preserve">управления капитального строительства </w:t>
      </w:r>
      <w:r>
        <w:rPr>
          <w:sz w:val="28"/>
          <w:szCs w:val="28"/>
          <w:highlight w:val="white"/>
        </w:rPr>
        <w:t xml:space="preserve">–  на уровне 68,3 %.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 w:val="0"/>
        <w:jc w:val="both"/>
        <w:spacing w:before="0" w:after="0" w:line="240" w:lineRule="auto"/>
        <w:rPr>
          <w:sz w:val="24"/>
          <w:szCs w:val="24"/>
          <w:highlight w:val="white"/>
        </w:rPr>
        <w:suppressLineNumbers w:val="0"/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contextualSpacing w:val="0"/>
        <w:jc w:val="both"/>
        <w:spacing w:before="0" w:after="0" w:line="240" w:lineRule="auto"/>
        <w:tabs>
          <w:tab w:val="num" w:pos="900" w:leader="none"/>
        </w:tabs>
        <w:rPr>
          <w:b/>
          <w:bCs/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         </w:t>
      </w:r>
      <w:r>
        <w:rPr>
          <w:b/>
          <w:color w:val="000000" w:themeColor="text1"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contextualSpacing w:val="0"/>
        <w:jc w:val="both"/>
        <w:spacing w:before="0" w:after="0" w:line="240" w:lineRule="auto"/>
        <w:tabs>
          <w:tab w:val="num" w:pos="900" w:leader="none"/>
        </w:tabs>
        <w:rPr>
          <w:b/>
          <w:bCs/>
          <w:color w:val="000000" w:themeColor="text1"/>
          <w:sz w:val="16"/>
          <w:szCs w:val="16"/>
        </w:rPr>
        <w:suppressLineNumbers w:val="0"/>
      </w:pPr>
      <w:r>
        <w:rPr>
          <w:b/>
          <w:bCs/>
          <w:color w:val="000000" w:themeColor="text1"/>
          <w:sz w:val="16"/>
          <w:szCs w:val="16"/>
        </w:rPr>
      </w:r>
      <w:r>
        <w:rPr>
          <w:b/>
          <w:bCs/>
          <w:color w:val="000000" w:themeColor="text1"/>
          <w:sz w:val="16"/>
          <w:szCs w:val="16"/>
        </w:rPr>
      </w:r>
      <w:r>
        <w:rPr>
          <w:b/>
          <w:bCs/>
          <w:color w:val="000000" w:themeColor="text1"/>
          <w:sz w:val="16"/>
          <w:szCs w:val="16"/>
        </w:rPr>
      </w:r>
    </w:p>
    <w:p>
      <w:pPr>
        <w:contextualSpacing w:val="0"/>
        <w:jc w:val="both"/>
        <w:spacing w:before="0" w:after="0" w:line="240" w:lineRule="auto"/>
        <w:tabs>
          <w:tab w:val="num" w:pos="900" w:leader="none"/>
        </w:tabs>
        <w:rPr>
          <w:color w:val="000000" w:themeColor="text1"/>
          <w:sz w:val="28"/>
          <w:szCs w:val="28"/>
        </w:rPr>
        <w:suppressLineNumbers w:val="0"/>
      </w:pPr>
      <w:r>
        <w:rPr>
          <w:b/>
          <w:color w:val="000000" w:themeColor="text1"/>
          <w:sz w:val="28"/>
          <w:szCs w:val="28"/>
        </w:rPr>
        <w:t xml:space="preserve">         </w:t>
      </w:r>
      <w:r>
        <w:rPr>
          <w:b/>
          <w:color w:val="000000" w:themeColor="text1"/>
          <w:sz w:val="28"/>
          <w:szCs w:val="28"/>
        </w:rPr>
        <w:t xml:space="preserve">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департаментом образования – на уровне 99,99 %;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0"/>
        </w:numPr>
        <w:contextualSpacing w:val="0"/>
        <w:jc w:val="both"/>
        <w:spacing w:before="0" w:after="0" w:line="240" w:lineRule="auto"/>
        <w:rPr>
          <w:sz w:val="28"/>
        </w:rPr>
        <w:suppressLineNumbers w:val="0"/>
      </w:pPr>
      <w:r>
        <w:rPr>
          <w:sz w:val="28"/>
          <w:szCs w:val="28"/>
        </w:rPr>
        <w:t xml:space="preserve">администрацией Орджоникидзевского района – на уровне 99,9 %;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9"/>
        </w:numPr>
        <w:contextualSpacing w:val="0"/>
        <w:jc w:val="both"/>
        <w:spacing w:before="0" w:after="0" w:line="240" w:lineRule="auto"/>
        <w:rPr>
          <w:sz w:val="28"/>
        </w:rPr>
        <w:suppressLineNumbers w:val="0"/>
      </w:pPr>
      <w:r>
        <w:rPr>
          <w:sz w:val="28"/>
          <w:szCs w:val="28"/>
        </w:rPr>
        <w:t xml:space="preserve">администрацией Кировского района – на уровне 99,4 %;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6"/>
        </w:numPr>
        <w:contextualSpacing w:val="0"/>
        <w:jc w:val="both"/>
        <w:spacing w:before="0" w:after="0" w:line="240" w:lineRule="auto"/>
        <w:tabs>
          <w:tab w:val="num" w:pos="72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департаментом дорог и благоустройства – на уровне 98,2 %;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b/>
          <w:bCs/>
          <w:color w:val="c00000"/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администрацией Свердловского района – на уровне 97,2 %;</w:t>
      </w:r>
      <w:r>
        <w:rPr>
          <w:b/>
          <w:bCs/>
          <w:color w:val="c00000"/>
          <w:sz w:val="28"/>
          <w:szCs w:val="28"/>
        </w:rPr>
      </w:r>
      <w:r>
        <w:rPr>
          <w:b/>
          <w:bCs/>
          <w:color w:val="c00000"/>
          <w:sz w:val="28"/>
          <w:szCs w:val="28"/>
        </w:rPr>
      </w:r>
    </w:p>
    <w:p>
      <w:pPr>
        <w:numPr>
          <w:ilvl w:val="0"/>
          <w:numId w:val="15"/>
        </w:numPr>
        <w:contextualSpacing w:val="0"/>
        <w:jc w:val="both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департаментом жилищно-коммунального хозяйства – на уровне 97,1 %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5"/>
        </w:numPr>
        <w:contextualSpacing w:val="0"/>
        <w:jc w:val="both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</w:rPr>
        <w:t xml:space="preserve">департаментом общественной безопасности </w:t>
      </w:r>
      <w:r>
        <w:rPr>
          <w:sz w:val="28"/>
          <w:szCs w:val="28"/>
          <w:highlight w:val="white"/>
        </w:rPr>
        <w:t xml:space="preserve">– на уровне 95,0 %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16"/>
          <w:szCs w:val="16"/>
        </w:rPr>
        <w:suppressLineNumbers w:val="0"/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b/>
          <w:color w:val="000000" w:themeColor="text1"/>
          <w:sz w:val="28"/>
          <w:szCs w:val="28"/>
        </w:rPr>
        <w:t xml:space="preserve">ниже 95,0 % </w:t>
      </w:r>
      <w:r>
        <w:rPr>
          <w:color w:val="000000" w:themeColor="text1"/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17"/>
        </w:numPr>
        <w:contextualSpacing w:val="0"/>
        <w:jc w:val="both"/>
        <w:spacing w:before="0" w:after="0" w:line="240" w:lineRule="auto"/>
        <w:rPr>
          <w:sz w:val="28"/>
        </w:rPr>
        <w:suppressLineNumbers w:val="0"/>
      </w:pPr>
      <w:r>
        <w:rPr>
          <w:sz w:val="28"/>
          <w:szCs w:val="28"/>
        </w:rPr>
        <w:t xml:space="preserve">департамента социальной политики – на уровне 94,8 %;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21"/>
        </w:numPr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управления записи актов гражданского состояния – на уровне 92,9 %;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администрации Индустриального района – на уровне 92,3 %;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5"/>
        </w:numPr>
        <w:contextualSpacing w:val="0"/>
        <w:jc w:val="both"/>
        <w:spacing w:before="0" w:after="0" w:line="240" w:lineRule="auto"/>
        <w:rPr>
          <w:color w:val="c00000"/>
          <w:sz w:val="28"/>
          <w:szCs w:val="28"/>
        </w:rPr>
        <w:suppressLineNumbers w:val="0"/>
      </w:pPr>
      <w:r>
        <w:rPr>
          <w:sz w:val="28"/>
          <w:szCs w:val="28"/>
        </w:rPr>
        <w:t xml:space="preserve">управления по экологии и природопользованию – на уровне 85,1 %;</w:t>
      </w:r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администрации Мотовилихинского района – на уровне 84,9 %;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tabs>
          <w:tab w:val="num" w:pos="72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департамента транспорта – на уровне 82,7 %;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8"/>
        </w:numPr>
        <w:contextualSpacing w:val="0"/>
        <w:jc w:val="both"/>
        <w:spacing w:before="0" w:after="0" w:line="240" w:lineRule="auto"/>
        <w:rPr>
          <w:sz w:val="28"/>
        </w:rPr>
        <w:suppressLineNumbers w:val="0"/>
      </w:pPr>
      <w:r>
        <w:rPr>
          <w:sz w:val="28"/>
          <w:szCs w:val="28"/>
        </w:rPr>
        <w:t xml:space="preserve">администрации Дзержинского района – на уровне 82,2 %;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26"/>
        </w:numPr>
        <w:contextualSpacing w:val="0"/>
        <w:jc w:val="both"/>
        <w:spacing w:before="0" w:after="0" w:line="240" w:lineRule="auto"/>
        <w:tabs>
          <w:tab w:val="num" w:pos="720" w:leader="none"/>
        </w:tabs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управления жилищных отношений – на уровне 80,8 %;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администрации п. Новые </w:t>
      </w:r>
      <w:r>
        <w:rPr>
          <w:sz w:val="28"/>
          <w:szCs w:val="28"/>
        </w:rPr>
        <w:t xml:space="preserve">Ляды</w:t>
      </w:r>
      <w:r>
        <w:rPr>
          <w:sz w:val="28"/>
          <w:szCs w:val="28"/>
        </w:rPr>
        <w:t xml:space="preserve"> – на уровне 77,3 %;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контрольного департамента – на уровне 70,7 %;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"/>
        </w:numPr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администрации Ленинского района – на уровне 63,5 %.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4"/>
          <w:szCs w:val="24"/>
        </w:rPr>
        <w:suppressLineNumbers w:val="0"/>
      </w:pP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  <w:r>
        <w:rPr>
          <w:color w:val="000000" w:themeColor="text1"/>
          <w:sz w:val="24"/>
          <w:szCs w:val="24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b/>
          <w:bCs/>
          <w:color w:val="000000" w:themeColor="text1"/>
          <w:sz w:val="28"/>
          <w:szCs w:val="28"/>
        </w:rPr>
        <w:suppressLineNumbers w:val="0"/>
      </w:pPr>
      <w:r>
        <w:rPr>
          <w:b/>
          <w:color w:val="000000" w:themeColor="text1"/>
          <w:sz w:val="28"/>
          <w:szCs w:val="28"/>
        </w:rPr>
        <w:t xml:space="preserve">2.3. Исполнение расходов по средствам, переданным из краевого бюджета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contextualSpacing w:val="0"/>
        <w:jc w:val="both"/>
        <w:spacing w:before="0" w:after="0" w:line="240" w:lineRule="auto"/>
        <w:rPr>
          <w:b/>
          <w:bCs/>
          <w:color w:val="000000" w:themeColor="text1"/>
          <w:sz w:val="28"/>
          <w:szCs w:val="28"/>
        </w:rPr>
        <w:suppressLineNumbers w:val="0"/>
      </w:pPr>
      <w:r>
        <w:rPr>
          <w:b/>
          <w:color w:val="000000" w:themeColor="text1"/>
          <w:sz w:val="28"/>
          <w:szCs w:val="28"/>
        </w:rPr>
        <w:t xml:space="preserve">          на выполнение полномочий городского округа: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contextualSpacing w:val="0"/>
        <w:jc w:val="both"/>
        <w:spacing w:before="0" w:after="0" w:line="240" w:lineRule="auto"/>
        <w:rPr>
          <w:b/>
          <w:bCs/>
          <w:color w:val="000000" w:themeColor="text1"/>
          <w:sz w:val="16"/>
          <w:szCs w:val="16"/>
        </w:rPr>
        <w:suppressLineNumbers w:val="0"/>
      </w:pPr>
      <w:r>
        <w:rPr>
          <w:b/>
          <w:bCs/>
          <w:color w:val="000000" w:themeColor="text1"/>
          <w:sz w:val="16"/>
          <w:szCs w:val="16"/>
        </w:rPr>
      </w:r>
      <w:r>
        <w:rPr>
          <w:b/>
          <w:bCs/>
          <w:color w:val="000000" w:themeColor="text1"/>
          <w:sz w:val="16"/>
          <w:szCs w:val="16"/>
        </w:rPr>
      </w:r>
      <w:r>
        <w:rPr>
          <w:b/>
          <w:bCs/>
          <w:color w:val="000000" w:themeColor="text1"/>
          <w:sz w:val="16"/>
          <w:szCs w:val="16"/>
        </w:rPr>
      </w:r>
    </w:p>
    <w:p>
      <w:pPr>
        <w:contextualSpacing w:val="0"/>
        <w:jc w:val="both"/>
        <w:spacing w:before="0" w:after="0"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  <w:suppressLineNumbers w:val="0"/>
      </w:pPr>
      <w:r>
        <w:rPr>
          <w:b/>
          <w:color w:val="000000" w:themeColor="text1"/>
          <w:sz w:val="28"/>
          <w:szCs w:val="28"/>
        </w:rPr>
        <w:t xml:space="preserve">          выше 95,0 % </w:t>
      </w:r>
      <w:r>
        <w:rPr>
          <w:color w:val="000000" w:themeColor="text1"/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8"/>
        </w:numPr>
        <w:contextualSpacing w:val="0"/>
        <w:jc w:val="both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департаментом культуры и молодежной политики – на уровне 100,0 %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8"/>
        </w:numPr>
        <w:contextualSpacing w:val="0"/>
        <w:jc w:val="both"/>
        <w:spacing w:before="0" w:after="0" w:line="240" w:lineRule="auto"/>
        <w:rPr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white"/>
        </w:rPr>
        <w:t xml:space="preserve">департаментом дорог и благоустройства – на уровне 100,0 %;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8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департаментом транспорта– на уровне 100,0 %;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8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департаментом социальной политики – на уровне 100,0 %;</w:t>
      </w: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numPr>
          <w:ilvl w:val="0"/>
          <w:numId w:val="25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департаментом образования – на уровне </w:t>
      </w:r>
      <w:r>
        <w:rPr>
          <w:color w:val="000000" w:themeColor="text1"/>
          <w:sz w:val="28"/>
          <w:szCs w:val="28"/>
        </w:rPr>
        <w:t xml:space="preserve">99,96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2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управлением жилищных отношений – на уровне </w:t>
      </w:r>
      <w:r>
        <w:rPr>
          <w:color w:val="000000" w:themeColor="text1"/>
          <w:sz w:val="28"/>
          <w:szCs w:val="28"/>
        </w:rPr>
        <w:t xml:space="preserve">98,8</w:t>
      </w:r>
      <w:r>
        <w:rPr>
          <w:color w:val="000000" w:themeColor="text1"/>
          <w:sz w:val="28"/>
          <w:szCs w:val="28"/>
        </w:rPr>
        <w:t xml:space="preserve">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contextualSpacing w:val="0"/>
        <w:jc w:val="both"/>
        <w:spacing w:before="0" w:after="0" w:line="240" w:lineRule="auto"/>
        <w:rPr>
          <w:b/>
          <w:bCs/>
          <w:color w:val="000000" w:themeColor="text1"/>
          <w:sz w:val="20"/>
          <w:szCs w:val="20"/>
        </w:rPr>
        <w:suppressLineNumbers w:val="0"/>
      </w:pPr>
      <w:r>
        <w:rPr>
          <w:b/>
          <w:bCs/>
          <w:color w:val="000000" w:themeColor="text1"/>
          <w:sz w:val="20"/>
          <w:szCs w:val="20"/>
        </w:rPr>
      </w:r>
      <w:r>
        <w:rPr>
          <w:b/>
          <w:bCs/>
          <w:color w:val="000000" w:themeColor="text1"/>
          <w:sz w:val="20"/>
          <w:szCs w:val="20"/>
        </w:rPr>
      </w:r>
      <w:r>
        <w:rPr>
          <w:b/>
          <w:bCs/>
          <w:color w:val="000000" w:themeColor="text1"/>
          <w:sz w:val="20"/>
          <w:szCs w:val="20"/>
        </w:rPr>
      </w:r>
    </w:p>
    <w:p>
      <w:p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b/>
          <w:color w:val="000000" w:themeColor="text1"/>
          <w:sz w:val="28"/>
        </w:rPr>
        <w:t xml:space="preserve">  </w:t>
      </w:r>
      <w:r>
        <w:rPr>
          <w:b/>
          <w:color w:val="000000" w:themeColor="text1"/>
          <w:sz w:val="28"/>
        </w:rPr>
        <w:tab/>
      </w:r>
      <w:r>
        <w:rPr>
          <w:b/>
          <w:color w:val="000000" w:themeColor="text1"/>
          <w:sz w:val="28"/>
          <w:szCs w:val="28"/>
        </w:rPr>
        <w:t xml:space="preserve">ниже 95,0 % </w:t>
      </w:r>
      <w:r>
        <w:rPr>
          <w:color w:val="000000" w:themeColor="text1"/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8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управлени</w:t>
      </w:r>
      <w:r>
        <w:rPr>
          <w:color w:val="000000" w:themeColor="text1"/>
          <w:sz w:val="28"/>
          <w:szCs w:val="28"/>
        </w:rPr>
        <w:t xml:space="preserve">я</w:t>
      </w:r>
      <w:r>
        <w:rPr>
          <w:color w:val="000000" w:themeColor="text1"/>
          <w:sz w:val="28"/>
          <w:szCs w:val="28"/>
        </w:rPr>
        <w:t xml:space="preserve"> по экологии и природопользованию – на уровне 91,5 %;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8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</w:rPr>
        <w:t xml:space="preserve">департамента общественной безопасности – на уровне 91,1 %;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28"/>
        </w:numPr>
        <w:contextualSpacing w:val="0"/>
        <w:jc w:val="both"/>
        <w:spacing w:before="0" w:after="0" w:line="240" w:lineRule="auto"/>
        <w:rPr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управлени</w:t>
      </w:r>
      <w:r>
        <w:rPr>
          <w:color w:val="000000" w:themeColor="text1"/>
          <w:sz w:val="28"/>
          <w:szCs w:val="28"/>
        </w:rPr>
        <w:t xml:space="preserve">я</w:t>
      </w:r>
      <w:r>
        <w:rPr>
          <w:color w:val="000000" w:themeColor="text1"/>
          <w:sz w:val="28"/>
          <w:szCs w:val="28"/>
        </w:rPr>
        <w:t xml:space="preserve"> капитального строитель</w:t>
      </w:r>
      <w:r>
        <w:rPr>
          <w:sz w:val="28"/>
          <w:szCs w:val="28"/>
        </w:rPr>
        <w:t xml:space="preserve">ства – на уровне 81,9 %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01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1"/>
      <w:rPr>
        <w:rStyle w:val="952"/>
        <w:sz w:val="23"/>
        <w:szCs w:val="23"/>
      </w:rPr>
      <w:framePr w:wrap="around" w:vAnchor="text" w:hAnchor="margin" w:xAlign="right" w:y="1"/>
    </w:pPr>
    <w:r>
      <w:rPr>
        <w:rStyle w:val="952"/>
        <w:sz w:val="23"/>
        <w:szCs w:val="23"/>
      </w:rPr>
      <w:fldChar w:fldCharType="begin"/>
    </w:r>
    <w:r>
      <w:rPr>
        <w:rStyle w:val="952"/>
        <w:sz w:val="23"/>
        <w:szCs w:val="23"/>
      </w:rPr>
      <w:instrText xml:space="preserve">PAGE  </w:instrText>
    </w:r>
    <w:r>
      <w:rPr>
        <w:rStyle w:val="952"/>
        <w:sz w:val="23"/>
        <w:szCs w:val="23"/>
      </w:rPr>
      <w:fldChar w:fldCharType="end"/>
    </w:r>
    <w:r>
      <w:rPr>
        <w:rStyle w:val="952"/>
        <w:sz w:val="23"/>
        <w:szCs w:val="23"/>
      </w:rPr>
    </w:r>
    <w:r>
      <w:rPr>
        <w:rStyle w:val="952"/>
        <w:sz w:val="23"/>
        <w:szCs w:val="23"/>
      </w:rPr>
    </w:r>
  </w:p>
  <w:p>
    <w:pPr>
      <w:pStyle w:val="801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11"/>
  </w:num>
  <w:num w:numId="2">
    <w:abstractNumId w:val="19"/>
  </w:num>
  <w:num w:numId="3">
    <w:abstractNumId w:val="3"/>
  </w:num>
  <w:num w:numId="4">
    <w:abstractNumId w:val="17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1"/>
  </w:num>
  <w:num w:numId="10">
    <w:abstractNumId w:val="24"/>
  </w:num>
  <w:num w:numId="11">
    <w:abstractNumId w:val="0"/>
  </w:num>
  <w:num w:numId="12">
    <w:abstractNumId w:val="10"/>
  </w:num>
  <w:num w:numId="13">
    <w:abstractNumId w:val="6"/>
  </w:num>
  <w:num w:numId="14">
    <w:abstractNumId w:val="21"/>
  </w:num>
  <w:num w:numId="15">
    <w:abstractNumId w:val="25"/>
  </w:num>
  <w:num w:numId="16">
    <w:abstractNumId w:val="18"/>
  </w:num>
  <w:num w:numId="17">
    <w:abstractNumId w:val="27"/>
  </w:num>
  <w:num w:numId="18">
    <w:abstractNumId w:val="15"/>
  </w:num>
  <w:num w:numId="19">
    <w:abstractNumId w:val="14"/>
  </w:num>
  <w:num w:numId="20">
    <w:abstractNumId w:val="16"/>
  </w:num>
  <w:num w:numId="21">
    <w:abstractNumId w:val="7"/>
  </w:num>
  <w:num w:numId="22">
    <w:abstractNumId w:val="22"/>
  </w:num>
  <w:num w:numId="23">
    <w:abstractNumId w:val="9"/>
  </w:num>
  <w:num w:numId="24">
    <w:abstractNumId w:val="23"/>
  </w:num>
  <w:num w:numId="25">
    <w:abstractNumId w:val="26"/>
  </w:num>
  <w:num w:numId="26">
    <w:abstractNumId w:val="4"/>
  </w:num>
  <w:num w:numId="27">
    <w:abstractNumId w:val="2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0">
    <w:name w:val="Heading 1 Char"/>
    <w:basedOn w:val="777"/>
    <w:link w:val="768"/>
    <w:uiPriority w:val="9"/>
    <w:rPr>
      <w:rFonts w:ascii="Arial" w:hAnsi="Arial" w:eastAsia="Arial" w:cs="Arial"/>
      <w:sz w:val="40"/>
      <w:szCs w:val="40"/>
    </w:rPr>
  </w:style>
  <w:style w:type="character" w:styleId="751">
    <w:name w:val="Heading 2 Char"/>
    <w:basedOn w:val="777"/>
    <w:link w:val="769"/>
    <w:uiPriority w:val="9"/>
    <w:rPr>
      <w:rFonts w:ascii="Arial" w:hAnsi="Arial" w:eastAsia="Arial" w:cs="Arial"/>
      <w:sz w:val="34"/>
    </w:rPr>
  </w:style>
  <w:style w:type="character" w:styleId="752">
    <w:name w:val="Heading 3 Char"/>
    <w:basedOn w:val="777"/>
    <w:link w:val="770"/>
    <w:uiPriority w:val="9"/>
    <w:rPr>
      <w:rFonts w:ascii="Arial" w:hAnsi="Arial" w:eastAsia="Arial" w:cs="Arial"/>
      <w:sz w:val="30"/>
      <w:szCs w:val="30"/>
    </w:rPr>
  </w:style>
  <w:style w:type="character" w:styleId="753">
    <w:name w:val="Heading 4 Char"/>
    <w:basedOn w:val="777"/>
    <w:link w:val="771"/>
    <w:uiPriority w:val="9"/>
    <w:rPr>
      <w:rFonts w:ascii="Arial" w:hAnsi="Arial" w:eastAsia="Arial" w:cs="Arial"/>
      <w:b/>
      <w:bCs/>
      <w:sz w:val="26"/>
      <w:szCs w:val="26"/>
    </w:rPr>
  </w:style>
  <w:style w:type="character" w:styleId="754">
    <w:name w:val="Heading 5 Char"/>
    <w:basedOn w:val="777"/>
    <w:link w:val="772"/>
    <w:uiPriority w:val="9"/>
    <w:rPr>
      <w:rFonts w:ascii="Arial" w:hAnsi="Arial" w:eastAsia="Arial" w:cs="Arial"/>
      <w:b/>
      <w:bCs/>
      <w:sz w:val="24"/>
      <w:szCs w:val="24"/>
    </w:rPr>
  </w:style>
  <w:style w:type="character" w:styleId="755">
    <w:name w:val="Heading 6 Char"/>
    <w:basedOn w:val="777"/>
    <w:link w:val="773"/>
    <w:uiPriority w:val="9"/>
    <w:rPr>
      <w:rFonts w:ascii="Arial" w:hAnsi="Arial" w:eastAsia="Arial" w:cs="Arial"/>
      <w:b/>
      <w:bCs/>
      <w:sz w:val="22"/>
      <w:szCs w:val="22"/>
    </w:rPr>
  </w:style>
  <w:style w:type="character" w:styleId="756">
    <w:name w:val="Heading 7 Char"/>
    <w:basedOn w:val="777"/>
    <w:link w:val="7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7">
    <w:name w:val="Heading 8 Char"/>
    <w:basedOn w:val="777"/>
    <w:link w:val="775"/>
    <w:uiPriority w:val="9"/>
    <w:rPr>
      <w:rFonts w:ascii="Arial" w:hAnsi="Arial" w:eastAsia="Arial" w:cs="Arial"/>
      <w:i/>
      <w:iCs/>
      <w:sz w:val="22"/>
      <w:szCs w:val="22"/>
    </w:rPr>
  </w:style>
  <w:style w:type="character" w:styleId="758">
    <w:name w:val="Heading 9 Char"/>
    <w:basedOn w:val="777"/>
    <w:link w:val="776"/>
    <w:uiPriority w:val="9"/>
    <w:rPr>
      <w:rFonts w:ascii="Arial" w:hAnsi="Arial" w:eastAsia="Arial" w:cs="Arial"/>
      <w:i/>
      <w:iCs/>
      <w:sz w:val="21"/>
      <w:szCs w:val="21"/>
    </w:rPr>
  </w:style>
  <w:style w:type="character" w:styleId="759">
    <w:name w:val="Title Char"/>
    <w:basedOn w:val="777"/>
    <w:link w:val="791"/>
    <w:uiPriority w:val="10"/>
    <w:rPr>
      <w:sz w:val="48"/>
      <w:szCs w:val="48"/>
    </w:rPr>
  </w:style>
  <w:style w:type="character" w:styleId="760">
    <w:name w:val="Subtitle Char"/>
    <w:basedOn w:val="777"/>
    <w:link w:val="793"/>
    <w:uiPriority w:val="11"/>
    <w:rPr>
      <w:sz w:val="24"/>
      <w:szCs w:val="24"/>
    </w:rPr>
  </w:style>
  <w:style w:type="character" w:styleId="761">
    <w:name w:val="Quote Char"/>
    <w:link w:val="795"/>
    <w:uiPriority w:val="29"/>
    <w:rPr>
      <w:i/>
    </w:rPr>
  </w:style>
  <w:style w:type="character" w:styleId="762">
    <w:name w:val="Intense Quote Char"/>
    <w:link w:val="797"/>
    <w:uiPriority w:val="30"/>
    <w:rPr>
      <w:i/>
    </w:rPr>
  </w:style>
  <w:style w:type="character" w:styleId="763">
    <w:name w:val="Header Char"/>
    <w:basedOn w:val="777"/>
    <w:link w:val="799"/>
    <w:uiPriority w:val="99"/>
  </w:style>
  <w:style w:type="character" w:styleId="764">
    <w:name w:val="Caption Char"/>
    <w:basedOn w:val="803"/>
    <w:link w:val="801"/>
    <w:uiPriority w:val="99"/>
  </w:style>
  <w:style w:type="character" w:styleId="765">
    <w:name w:val="Footnote Text Char"/>
    <w:link w:val="932"/>
    <w:uiPriority w:val="99"/>
    <w:rPr>
      <w:sz w:val="18"/>
    </w:rPr>
  </w:style>
  <w:style w:type="character" w:styleId="766">
    <w:name w:val="Endnote Text Char"/>
    <w:link w:val="935"/>
    <w:uiPriority w:val="99"/>
    <w:rPr>
      <w:sz w:val="20"/>
    </w:rPr>
  </w:style>
  <w:style w:type="paragraph" w:styleId="767" w:default="1">
    <w:name w:val="Normal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68">
    <w:name w:val="Heading 1"/>
    <w:basedOn w:val="767"/>
    <w:next w:val="767"/>
    <w:link w:val="7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9">
    <w:name w:val="Heading 2"/>
    <w:basedOn w:val="767"/>
    <w:next w:val="767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70">
    <w:name w:val="Heading 3"/>
    <w:basedOn w:val="767"/>
    <w:next w:val="767"/>
    <w:link w:val="7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71">
    <w:name w:val="Heading 4"/>
    <w:basedOn w:val="767"/>
    <w:next w:val="767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2">
    <w:name w:val="Heading 5"/>
    <w:basedOn w:val="767"/>
    <w:next w:val="767"/>
    <w:link w:val="7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73">
    <w:name w:val="Heading 6"/>
    <w:basedOn w:val="767"/>
    <w:next w:val="767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74">
    <w:name w:val="Heading 7"/>
    <w:basedOn w:val="767"/>
    <w:next w:val="767"/>
    <w:link w:val="7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5">
    <w:name w:val="Heading 8"/>
    <w:basedOn w:val="767"/>
    <w:next w:val="767"/>
    <w:link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6">
    <w:name w:val="Heading 9"/>
    <w:basedOn w:val="767"/>
    <w:next w:val="767"/>
    <w:link w:val="7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7" w:default="1">
    <w:name w:val="Default Paragraph Font"/>
    <w:uiPriority w:val="1"/>
    <w:semiHidden/>
    <w:unhideWhenUsed/>
  </w:style>
  <w:style w:type="table" w:styleId="7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9" w:default="1">
    <w:name w:val="No List"/>
    <w:uiPriority w:val="99"/>
    <w:semiHidden/>
    <w:unhideWhenUsed/>
  </w:style>
  <w:style w:type="character" w:styleId="780" w:customStyle="1">
    <w:name w:val="Заголовок 1 Знак"/>
    <w:link w:val="768"/>
    <w:uiPriority w:val="9"/>
    <w:rPr>
      <w:rFonts w:ascii="Arial" w:hAnsi="Arial" w:eastAsia="Arial" w:cs="Arial"/>
      <w:sz w:val="40"/>
      <w:szCs w:val="40"/>
    </w:rPr>
  </w:style>
  <w:style w:type="character" w:styleId="781" w:customStyle="1">
    <w:name w:val="Заголовок 2 Знак"/>
    <w:link w:val="769"/>
    <w:uiPriority w:val="9"/>
    <w:rPr>
      <w:rFonts w:ascii="Arial" w:hAnsi="Arial" w:eastAsia="Arial" w:cs="Arial"/>
      <w:sz w:val="34"/>
    </w:rPr>
  </w:style>
  <w:style w:type="character" w:styleId="782" w:customStyle="1">
    <w:name w:val="Заголовок 3 Знак"/>
    <w:link w:val="770"/>
    <w:uiPriority w:val="9"/>
    <w:rPr>
      <w:rFonts w:ascii="Arial" w:hAnsi="Arial" w:eastAsia="Arial" w:cs="Arial"/>
      <w:sz w:val="30"/>
      <w:szCs w:val="30"/>
    </w:rPr>
  </w:style>
  <w:style w:type="character" w:styleId="783" w:customStyle="1">
    <w:name w:val="Заголовок 4 Знак"/>
    <w:link w:val="771"/>
    <w:uiPriority w:val="9"/>
    <w:rPr>
      <w:rFonts w:ascii="Arial" w:hAnsi="Arial" w:eastAsia="Arial" w:cs="Arial"/>
      <w:b/>
      <w:bCs/>
      <w:sz w:val="26"/>
      <w:szCs w:val="26"/>
    </w:rPr>
  </w:style>
  <w:style w:type="character" w:styleId="784" w:customStyle="1">
    <w:name w:val="Заголовок 5 Знак"/>
    <w:link w:val="772"/>
    <w:uiPriority w:val="9"/>
    <w:rPr>
      <w:rFonts w:ascii="Arial" w:hAnsi="Arial" w:eastAsia="Arial" w:cs="Arial"/>
      <w:b/>
      <w:bCs/>
      <w:sz w:val="24"/>
      <w:szCs w:val="24"/>
    </w:rPr>
  </w:style>
  <w:style w:type="character" w:styleId="785" w:customStyle="1">
    <w:name w:val="Заголовок 6 Знак"/>
    <w:link w:val="773"/>
    <w:uiPriority w:val="9"/>
    <w:rPr>
      <w:rFonts w:ascii="Arial" w:hAnsi="Arial" w:eastAsia="Arial" w:cs="Arial"/>
      <w:b/>
      <w:bCs/>
      <w:sz w:val="22"/>
      <w:szCs w:val="22"/>
    </w:rPr>
  </w:style>
  <w:style w:type="character" w:styleId="786" w:customStyle="1">
    <w:name w:val="Заголовок 7 Знак"/>
    <w:link w:val="7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7" w:customStyle="1">
    <w:name w:val="Заголовок 8 Знак"/>
    <w:link w:val="775"/>
    <w:uiPriority w:val="9"/>
    <w:rPr>
      <w:rFonts w:ascii="Arial" w:hAnsi="Arial" w:eastAsia="Arial" w:cs="Arial"/>
      <w:i/>
      <w:iCs/>
      <w:sz w:val="22"/>
      <w:szCs w:val="22"/>
    </w:rPr>
  </w:style>
  <w:style w:type="character" w:styleId="788" w:customStyle="1">
    <w:name w:val="Заголовок 9 Знак"/>
    <w:link w:val="776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List Paragraph"/>
    <w:basedOn w:val="767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790">
    <w:name w:val="No Spacing"/>
    <w:uiPriority w:val="1"/>
    <w:qFormat/>
  </w:style>
  <w:style w:type="paragraph" w:styleId="791">
    <w:name w:val="Title"/>
    <w:basedOn w:val="767"/>
    <w:next w:val="767"/>
    <w:link w:val="7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2" w:customStyle="1">
    <w:name w:val="Заголовок Знак"/>
    <w:link w:val="791"/>
    <w:uiPriority w:val="10"/>
    <w:rPr>
      <w:sz w:val="48"/>
      <w:szCs w:val="48"/>
    </w:rPr>
  </w:style>
  <w:style w:type="paragraph" w:styleId="793">
    <w:name w:val="Subtitle"/>
    <w:basedOn w:val="767"/>
    <w:next w:val="767"/>
    <w:link w:val="794"/>
    <w:uiPriority w:val="11"/>
    <w:qFormat/>
    <w:pPr>
      <w:spacing w:before="200" w:after="200"/>
    </w:pPr>
  </w:style>
  <w:style w:type="character" w:styleId="794" w:customStyle="1">
    <w:name w:val="Подзаголовок Знак"/>
    <w:link w:val="793"/>
    <w:uiPriority w:val="11"/>
    <w:rPr>
      <w:sz w:val="24"/>
      <w:szCs w:val="24"/>
    </w:rPr>
  </w:style>
  <w:style w:type="paragraph" w:styleId="795">
    <w:name w:val="Quote"/>
    <w:basedOn w:val="767"/>
    <w:next w:val="767"/>
    <w:link w:val="796"/>
    <w:uiPriority w:val="29"/>
    <w:qFormat/>
    <w:pPr>
      <w:ind w:left="720" w:right="720"/>
    </w:pPr>
    <w:rPr>
      <w:i/>
    </w:rPr>
  </w:style>
  <w:style w:type="character" w:styleId="796" w:customStyle="1">
    <w:name w:val="Цитата 2 Знак"/>
    <w:link w:val="795"/>
    <w:uiPriority w:val="29"/>
    <w:rPr>
      <w:i/>
    </w:rPr>
  </w:style>
  <w:style w:type="paragraph" w:styleId="797">
    <w:name w:val="Intense Quote"/>
    <w:basedOn w:val="767"/>
    <w:next w:val="767"/>
    <w:link w:val="79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8" w:customStyle="1">
    <w:name w:val="Выделенная цитата Знак"/>
    <w:link w:val="797"/>
    <w:uiPriority w:val="30"/>
    <w:rPr>
      <w:i/>
    </w:rPr>
  </w:style>
  <w:style w:type="paragraph" w:styleId="799">
    <w:name w:val="Header"/>
    <w:basedOn w:val="767"/>
    <w:link w:val="800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800" w:customStyle="1">
    <w:name w:val="Верхний колонтитул Знак"/>
    <w:link w:val="799"/>
    <w:uiPriority w:val="99"/>
  </w:style>
  <w:style w:type="paragraph" w:styleId="801">
    <w:name w:val="Footer"/>
    <w:basedOn w:val="767"/>
    <w:link w:val="951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02" w:customStyle="1">
    <w:name w:val="Footer Char"/>
    <w:uiPriority w:val="99"/>
  </w:style>
  <w:style w:type="paragraph" w:styleId="803">
    <w:name w:val="Caption"/>
    <w:basedOn w:val="767"/>
    <w:next w:val="767"/>
    <w:link w:val="8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 w:customStyle="1">
    <w:name w:val="Название объекта Знак"/>
    <w:link w:val="803"/>
    <w:uiPriority w:val="99"/>
  </w:style>
  <w:style w:type="table" w:styleId="805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1">
    <w:name w:val="Hyperlink"/>
    <w:uiPriority w:val="99"/>
    <w:unhideWhenUsed/>
    <w:rPr>
      <w:color w:val="0000ff" w:themeColor="hyperlink"/>
      <w:u w:val="single"/>
    </w:rPr>
  </w:style>
  <w:style w:type="paragraph" w:styleId="932">
    <w:name w:val="footnote text"/>
    <w:basedOn w:val="767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 w:customStyle="1">
    <w:name w:val="Текст сноски Знак"/>
    <w:link w:val="932"/>
    <w:uiPriority w:val="99"/>
    <w:rPr>
      <w:sz w:val="18"/>
    </w:rPr>
  </w:style>
  <w:style w:type="character" w:styleId="934">
    <w:name w:val="footnote reference"/>
    <w:uiPriority w:val="99"/>
    <w:unhideWhenUsed/>
    <w:rPr>
      <w:vertAlign w:val="superscript"/>
    </w:rPr>
  </w:style>
  <w:style w:type="paragraph" w:styleId="935">
    <w:name w:val="endnote text"/>
    <w:basedOn w:val="767"/>
    <w:link w:val="936"/>
    <w:uiPriority w:val="99"/>
    <w:semiHidden/>
    <w:unhideWhenUsed/>
    <w:pPr>
      <w:spacing w:line="240" w:lineRule="auto"/>
    </w:pPr>
    <w:rPr>
      <w:sz w:val="20"/>
    </w:rPr>
  </w:style>
  <w:style w:type="character" w:styleId="936" w:customStyle="1">
    <w:name w:val="Текст концевой сноски Знак"/>
    <w:link w:val="935"/>
    <w:uiPriority w:val="99"/>
    <w:rPr>
      <w:sz w:val="20"/>
    </w:rPr>
  </w:style>
  <w:style w:type="character" w:styleId="937">
    <w:name w:val="endnote reference"/>
    <w:uiPriority w:val="99"/>
    <w:semiHidden/>
    <w:unhideWhenUsed/>
    <w:rPr>
      <w:vertAlign w:val="superscript"/>
    </w:rPr>
  </w:style>
  <w:style w:type="paragraph" w:styleId="938">
    <w:name w:val="toc 1"/>
    <w:basedOn w:val="767"/>
    <w:next w:val="767"/>
    <w:uiPriority w:val="39"/>
    <w:unhideWhenUsed/>
    <w:pPr>
      <w:spacing w:after="57"/>
    </w:pPr>
  </w:style>
  <w:style w:type="paragraph" w:styleId="939">
    <w:name w:val="toc 2"/>
    <w:basedOn w:val="767"/>
    <w:next w:val="767"/>
    <w:uiPriority w:val="39"/>
    <w:unhideWhenUsed/>
    <w:pPr>
      <w:ind w:left="283"/>
      <w:spacing w:after="57"/>
    </w:pPr>
  </w:style>
  <w:style w:type="paragraph" w:styleId="940">
    <w:name w:val="toc 3"/>
    <w:basedOn w:val="767"/>
    <w:next w:val="767"/>
    <w:uiPriority w:val="39"/>
    <w:unhideWhenUsed/>
    <w:pPr>
      <w:ind w:left="567"/>
      <w:spacing w:after="57"/>
    </w:pPr>
  </w:style>
  <w:style w:type="paragraph" w:styleId="941">
    <w:name w:val="toc 4"/>
    <w:basedOn w:val="767"/>
    <w:next w:val="767"/>
    <w:uiPriority w:val="39"/>
    <w:unhideWhenUsed/>
    <w:pPr>
      <w:ind w:left="850"/>
      <w:spacing w:after="57"/>
    </w:pPr>
  </w:style>
  <w:style w:type="paragraph" w:styleId="942">
    <w:name w:val="toc 5"/>
    <w:basedOn w:val="767"/>
    <w:next w:val="767"/>
    <w:uiPriority w:val="39"/>
    <w:unhideWhenUsed/>
    <w:pPr>
      <w:ind w:left="1134"/>
      <w:spacing w:after="57"/>
    </w:pPr>
  </w:style>
  <w:style w:type="paragraph" w:styleId="943">
    <w:name w:val="toc 6"/>
    <w:basedOn w:val="767"/>
    <w:next w:val="767"/>
    <w:uiPriority w:val="39"/>
    <w:unhideWhenUsed/>
    <w:pPr>
      <w:ind w:left="1417"/>
      <w:spacing w:after="57"/>
    </w:pPr>
  </w:style>
  <w:style w:type="paragraph" w:styleId="944">
    <w:name w:val="toc 7"/>
    <w:basedOn w:val="767"/>
    <w:next w:val="767"/>
    <w:uiPriority w:val="39"/>
    <w:unhideWhenUsed/>
    <w:pPr>
      <w:ind w:left="1701"/>
      <w:spacing w:after="57"/>
    </w:pPr>
  </w:style>
  <w:style w:type="paragraph" w:styleId="945">
    <w:name w:val="toc 8"/>
    <w:basedOn w:val="767"/>
    <w:next w:val="767"/>
    <w:uiPriority w:val="39"/>
    <w:unhideWhenUsed/>
    <w:pPr>
      <w:ind w:left="1984"/>
      <w:spacing w:after="57"/>
    </w:pPr>
  </w:style>
  <w:style w:type="paragraph" w:styleId="946">
    <w:name w:val="toc 9"/>
    <w:basedOn w:val="767"/>
    <w:next w:val="767"/>
    <w:uiPriority w:val="39"/>
    <w:unhideWhenUsed/>
    <w:pPr>
      <w:ind w:left="2268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767"/>
    <w:next w:val="767"/>
    <w:uiPriority w:val="99"/>
    <w:unhideWhenUsed/>
  </w:style>
  <w:style w:type="paragraph" w:styleId="949">
    <w:name w:val="Body Text Indent"/>
    <w:basedOn w:val="767"/>
    <w:link w:val="950"/>
    <w:pPr>
      <w:ind w:firstLine="720"/>
      <w:spacing w:line="360" w:lineRule="auto"/>
    </w:pPr>
    <w:rPr>
      <w:sz w:val="28"/>
      <w:szCs w:val="20"/>
      <w:lang w:val="en-US"/>
    </w:rPr>
  </w:style>
  <w:style w:type="character" w:styleId="950" w:customStyle="1">
    <w:name w:val="Основной текст с отступом Знак"/>
    <w:link w:val="94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51" w:customStyle="1">
    <w:name w:val="Нижний колонтитул Знак"/>
    <w:link w:val="80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52">
    <w:name w:val="page number"/>
    <w:basedOn w:val="777"/>
  </w:style>
  <w:style w:type="paragraph" w:styleId="953">
    <w:name w:val="Body Text Indent 2"/>
    <w:basedOn w:val="767"/>
    <w:link w:val="954"/>
    <w:pPr>
      <w:ind w:firstLine="720"/>
    </w:pPr>
    <w:rPr>
      <w:b/>
      <w:sz w:val="32"/>
      <w:szCs w:val="32"/>
      <w:lang w:val="en-US"/>
    </w:rPr>
  </w:style>
  <w:style w:type="character" w:styleId="954" w:customStyle="1">
    <w:name w:val="Основной текст с отступом 2 Знак"/>
    <w:link w:val="953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955">
    <w:name w:val="Balloon Text"/>
    <w:basedOn w:val="767"/>
    <w:link w:val="956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956" w:customStyle="1">
    <w:name w:val="Текст выноски Знак"/>
    <w:link w:val="95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57" w:customStyle="1">
    <w:name w:val="Верхний колонтитул;Знак"/>
    <w:basedOn w:val="767"/>
    <w:link w:val="958"/>
    <w:uiPriority w:val="99"/>
    <w:semiHidden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958" w:customStyle="1">
    <w:name w:val="Верхний колонтитул Знак;Знак Знак1"/>
    <w:link w:val="957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9">
    <w:name w:val="Body Text"/>
    <w:basedOn w:val="767"/>
    <w:link w:val="960"/>
    <w:uiPriority w:val="99"/>
    <w:unhideWhenUsed/>
    <w:pPr>
      <w:spacing w:after="120"/>
    </w:pPr>
  </w:style>
  <w:style w:type="character" w:styleId="960" w:customStyle="1">
    <w:name w:val="Основной текст Знак"/>
    <w:link w:val="959"/>
    <w:uiPriority w:val="99"/>
    <w:rPr>
      <w:rFonts w:ascii="Times New Roman" w:hAnsi="Times New Roman" w:eastAsia="Times New Roman"/>
      <w:sz w:val="24"/>
      <w:szCs w:val="24"/>
    </w:rPr>
  </w:style>
  <w:style w:type="paragraph" w:styleId="961" w:customStyle="1">
    <w:name w:val="Исполнитель"/>
    <w:basedOn w:val="959"/>
    <w:pPr>
      <w:jc w:val="left"/>
      <w:spacing w:line="240" w:lineRule="exact"/>
      <w:widowControl/>
    </w:pPr>
    <w:rPr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Департамент финансов админситрации г.Перми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lastModifiedBy>legotkina-nyu</cp:lastModifiedBy>
  <cp:revision>4484</cp:revision>
  <dcterms:created xsi:type="dcterms:W3CDTF">2022-06-10T10:27:00Z</dcterms:created>
  <dcterms:modified xsi:type="dcterms:W3CDTF">2025-06-11T08:23:05Z</dcterms:modified>
  <cp:version>983040</cp:version>
</cp:coreProperties>
</file>