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на 1 декабря 2024 года 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пояснительная записка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ind w:firstLine="709"/>
        <w:jc w:val="center"/>
        <w:spacing w:line="240" w:lineRule="auto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города Перми по состоянию на 1 декабря 2024 года                  по оперативным данным характеризуется следующими показателями: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tabs>
          <w:tab w:val="left" w:pos="0" w:leader="none"/>
          <w:tab w:val="left" w:pos="709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доходам </w:t>
      </w:r>
      <w:r>
        <w:rPr>
          <w:sz w:val="28"/>
          <w:szCs w:val="28"/>
        </w:rPr>
        <w:t xml:space="preserve">- в сумме </w:t>
      </w:r>
      <w:r>
        <w:rPr>
          <w:b/>
          <w:bCs/>
          <w:color w:val="auto"/>
          <w:sz w:val="28"/>
          <w:szCs w:val="28"/>
        </w:rPr>
        <w:t xml:space="preserve">52 317 277,3</w:t>
      </w:r>
      <w:r>
        <w:rPr>
          <w:b/>
          <w:bCs/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101,7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плана</w:t>
      </w:r>
      <w:r>
        <w:t xml:space="preserve"> </w:t>
      </w:r>
      <w:r>
        <w:rPr>
          <w:sz w:val="28"/>
          <w:szCs w:val="28"/>
        </w:rPr>
        <w:t xml:space="preserve">январ</w:t>
      </w:r>
      <w:r>
        <w:rPr>
          <w:sz w:val="28"/>
          <w:szCs w:val="28"/>
        </w:rPr>
        <w:t xml:space="preserve">я-ноября 2024 года (</w:t>
      </w:r>
      <w:r>
        <w:rPr>
          <w:color w:val="auto"/>
          <w:sz w:val="28"/>
          <w:szCs w:val="28"/>
        </w:rPr>
        <w:t xml:space="preserve">51 447 761,2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и </w:t>
      </w:r>
      <w:r>
        <w:rPr>
          <w:b/>
          <w:sz w:val="28"/>
          <w:szCs w:val="28"/>
        </w:rPr>
        <w:t xml:space="preserve">88,8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уточненного</w:t>
      </w:r>
      <w:r>
        <w:rPr>
          <w:sz w:val="28"/>
          <w:szCs w:val="28"/>
        </w:rPr>
        <w:t xml:space="preserve"> годового плана 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58 919 515,8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За аналогичный период прошлого года поступления доходов составляли </w:t>
      </w:r>
      <w:r>
        <w:rPr>
          <w:sz w:val="28"/>
          <w:szCs w:val="28"/>
        </w:rPr>
        <w:t xml:space="preserve">48 891 136,5</w:t>
      </w:r>
      <w:r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10</w:t>
      </w:r>
      <w:r>
        <w:rPr>
          <w:b/>
          <w:color w:val="auto"/>
          <w:sz w:val="28"/>
          <w:szCs w:val="28"/>
        </w:rPr>
        <w:t xml:space="preserve">2,4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плана января-ноября 2023 года 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 сопоставимых условиях с 2024 годом).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uto"/>
        <w:rPr>
          <w:sz w:val="24"/>
          <w:szCs w:val="24"/>
        </w:rPr>
      </w:pPr>
      <w:r>
        <w:rPr>
          <w:sz w:val="16"/>
          <w:szCs w:val="16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spacing w:line="240" w:lineRule="auto"/>
      </w:pPr>
      <w:r>
        <w:rPr>
          <w:sz w:val="28"/>
          <w:szCs w:val="28"/>
        </w:rPr>
        <w:t xml:space="preserve">Анализ поступления доходов бюджета за январь-ноябрь 2023 и 2024 годов приведен в следующей таблице:</w:t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>
        <w:t xml:space="preserve">                </w:t>
      </w:r>
      <w:r>
        <w:rPr>
          <w:sz w:val="16"/>
          <w:szCs w:val="16"/>
        </w:rPr>
      </w:r>
      <w:r/>
    </w:p>
    <w:p>
      <w:pPr>
        <w:ind w:firstLine="567"/>
        <w:spacing w:line="240" w:lineRule="auto"/>
        <w:rPr>
          <w:sz w:val="16"/>
          <w:szCs w:val="16"/>
        </w:rPr>
      </w:pPr>
      <w:r>
        <w:rPr>
          <w:highlight w:val="none"/>
          <w:lang w:val="en-US"/>
        </w:rPr>
      </w:r>
      <w:r>
        <w:rPr>
          <w:highlight w:val="none"/>
          <w:lang w:val="en-US"/>
        </w:rPr>
      </w:r>
      <w:r>
        <w:rPr>
          <w:sz w:val="16"/>
          <w:szCs w:val="16"/>
        </w:rPr>
      </w:r>
    </w:p>
    <w:p>
      <w:pPr>
        <w:ind w:firstLine="567"/>
        <w:jc w:val="right"/>
        <w:spacing w:line="240" w:lineRule="auto"/>
        <w:rPr>
          <w:highlight w:val="none"/>
          <w:lang w:val="en-US"/>
        </w:rPr>
      </w:pPr>
      <w:r>
        <w:t xml:space="preserve">(тыс.</w:t>
      </w:r>
      <w:r>
        <w:rPr>
          <w:lang w:val="en-US"/>
        </w:rPr>
        <w:t xml:space="preserve"> руб.)</w:t>
      </w:r>
      <w:r>
        <w:rPr>
          <w:highlight w:val="none"/>
          <w:lang w:val="en-US"/>
        </w:rPr>
      </w:r>
      <w:r>
        <w:rPr>
          <w:highlight w:val="none"/>
          <w:lang w:val="en-US"/>
        </w:rPr>
      </w:r>
    </w:p>
    <w:tbl>
      <w:tblPr>
        <w:tblW w:w="981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1701"/>
        <w:gridCol w:w="1559"/>
        <w:gridCol w:w="1559"/>
        <w:gridCol w:w="1417"/>
      </w:tblGrid>
      <w:tr>
        <w:tblPrEx/>
        <w:trPr>
          <w:trHeight w:val="999"/>
        </w:trPr>
        <w:tc>
          <w:tcPr>
            <w:tcBorders>
              <w:bottom w:val="single" w:color="000000" w:sz="4" w:space="0"/>
            </w:tcBorders>
            <w:tcW w:w="357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на 01.12.2023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 xml:space="preserve">(в сопоставимых условиях с 2024 г.)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 на 01.12.2024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2024 года от 2023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2024 года к 2023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0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577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4"/>
                <w:szCs w:val="24"/>
                <w:lang w:eastAsia="en-US"/>
              </w:rPr>
              <w:t xml:space="preserve">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4"/>
                <w:szCs w:val="24"/>
                <w:lang w:eastAsia="en-US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23 113 009,1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29 128 807,0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6 015 797,9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126,0%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7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577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4"/>
                <w:szCs w:val="24"/>
                <w:lang w:eastAsia="en-US"/>
              </w:rPr>
              <w:t xml:space="preserve">налоговые доходы*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16 708 670,8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21 923 259,4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5 214 588,6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131,2%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577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4"/>
                <w:szCs w:val="24"/>
                <w:lang w:eastAsia="en-US"/>
              </w:rPr>
              <w:t xml:space="preserve">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6 404 338,3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7 205 547,6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801 209,3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bCs/>
                <w:i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112,5%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</w:tr>
      <w:tr>
        <w:tblPrEx/>
        <w:trPr>
          <w:trHeight w:val="68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577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4"/>
                <w:szCs w:val="24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25 778 127,4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23 188 470,3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300" w:lineRule="atLeast"/>
              <w:rPr>
                <w:sz w:val="22"/>
              </w:rPr>
            </w:pPr>
            <w:r>
              <w:rPr>
                <w:i w:val="0"/>
                <w:iCs w:val="0"/>
                <w:sz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-2 589 657,1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90,0%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3577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доходов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bCs w:val="0"/>
                <w:i w:val="0"/>
              </w:rPr>
            </w:pPr>
            <w:r>
              <w:rPr>
                <w:b/>
                <w:i w:val="0"/>
                <w:iCs w:val="0"/>
              </w:rPr>
              <w:t xml:space="preserve">48 891 136,5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bCs w:val="0"/>
                <w:i w:val="0"/>
              </w:rPr>
            </w:pPr>
            <w:r>
              <w:rPr>
                <w:b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52 317 277,3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spacing w:line="300" w:lineRule="atLeast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b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3 426 140,8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highlight w:val="none"/>
                <w:u w:val="none"/>
                <w:vertAlign w:val="baseli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rPr>
                <w:bCs w:val="0"/>
                <w:i w:val="0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 w:val="0"/>
                <w:strike w:val="0"/>
                <w:color w:val="000000"/>
                <w:sz w:val="24"/>
                <w:u w:val="none"/>
                <w:vertAlign w:val="baseline"/>
              </w:rPr>
              <w:t xml:space="preserve">107,0%</w:t>
            </w:r>
            <w:r>
              <w:rPr>
                <w:bCs w:val="0"/>
                <w:i w:val="0"/>
              </w:rPr>
            </w:r>
            <w:r>
              <w:rPr>
                <w:bCs w:val="0"/>
                <w:i w:val="0"/>
              </w:rPr>
            </w:r>
          </w:p>
        </w:tc>
      </w:tr>
    </w:tbl>
    <w:p>
      <w:pPr>
        <w:ind w:left="426"/>
        <w:spacing w:line="240" w:lineRule="atLeast"/>
        <w:rPr>
          <w:sz w:val="18"/>
          <w:szCs w:val="16"/>
        </w:rPr>
      </w:pPr>
      <w:r>
        <w:rPr>
          <w:sz w:val="18"/>
          <w:szCs w:val="16"/>
        </w:rPr>
        <w:t xml:space="preserve">* в связи с изменениями с 2024 года норматива зачисления по налогу, взимаемому в связи с применением упрощенной системы</w:t>
      </w:r>
      <w:r>
        <w:rPr>
          <w:sz w:val="18"/>
          <w:szCs w:val="16"/>
        </w:rPr>
        <w:t xml:space="preserve"> </w:t>
      </w:r>
      <w:r>
        <w:rPr>
          <w:sz w:val="18"/>
          <w:szCs w:val="16"/>
        </w:rPr>
        <w:t xml:space="preserve">налогообложения (далее – УСН), объем доходов бюджета 2023 года приведен в сопоставимые условия (норматив по УСН – 10,0 %).</w:t>
      </w:r>
      <w:r>
        <w:rPr>
          <w:sz w:val="18"/>
          <w:szCs w:val="16"/>
        </w:rPr>
      </w:r>
      <w:r>
        <w:rPr>
          <w:sz w:val="18"/>
          <w:szCs w:val="16"/>
        </w:rPr>
      </w:r>
    </w:p>
    <w:p>
      <w:pPr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keepLines/>
        <w:spacing w:line="240" w:lineRule="atLeast"/>
        <w:tabs>
          <w:tab w:val="left" w:pos="7938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по расходам</w:t>
      </w:r>
      <w:r>
        <w:rPr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48 144 721,8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5,7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 плана                      января-ноября 2024 года (</w:t>
      </w:r>
      <w:r>
        <w:rPr>
          <w:sz w:val="28"/>
          <w:szCs w:val="28"/>
        </w:rPr>
        <w:t xml:space="preserve">50 296 824,2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и </w:t>
      </w:r>
      <w:r>
        <w:rPr>
          <w:b/>
          <w:sz w:val="28"/>
          <w:szCs w:val="28"/>
        </w:rPr>
        <w:t xml:space="preserve">80,8 %</w:t>
      </w:r>
      <w:r>
        <w:rPr>
          <w:sz w:val="28"/>
          <w:szCs w:val="28"/>
        </w:rPr>
        <w:t xml:space="preserve"> от годовых ассигнований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59 548 565,4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руб.). К</w:t>
      </w:r>
      <w:r>
        <w:rPr>
          <w:bCs/>
          <w:sz w:val="28"/>
          <w:szCs w:val="28"/>
        </w:rPr>
        <w:t xml:space="preserve">ассовый расход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аналогичный период прошлого года составлял </w:t>
      </w:r>
      <w:r>
        <w:rPr>
          <w:color w:val="auto"/>
          <w:sz w:val="28"/>
          <w:szCs w:val="28"/>
        </w:rPr>
        <w:t xml:space="preserve">49 308 491,1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97,</w:t>
      </w:r>
      <w:r>
        <w:rPr>
          <w:b/>
          <w:sz w:val="28"/>
          <w:szCs w:val="28"/>
        </w:rPr>
        <w:t xml:space="preserve">1 %</w:t>
      </w:r>
      <w:r>
        <w:rPr>
          <w:sz w:val="28"/>
          <w:szCs w:val="28"/>
        </w:rPr>
        <w:t xml:space="preserve"> от кассового плана</w:t>
      </w:r>
      <w:r>
        <w:rPr>
          <w:sz w:val="28"/>
          <w:szCs w:val="28"/>
        </w:rPr>
        <w:t xml:space="preserve"> января-ноября 2023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keepLines/>
        <w:spacing w:line="240" w:lineRule="atLeast"/>
        <w:tabs>
          <w:tab w:val="left" w:pos="7938" w:leader="none"/>
        </w:tabs>
        <w:rPr>
          <w:sz w:val="16"/>
          <w:szCs w:val="10"/>
        </w:rPr>
      </w:pPr>
      <w:r>
        <w:rPr>
          <w:sz w:val="16"/>
          <w:szCs w:val="10"/>
        </w:rPr>
      </w:r>
      <w:r>
        <w:rPr>
          <w:sz w:val="16"/>
          <w:szCs w:val="10"/>
        </w:rPr>
      </w:r>
      <w:r>
        <w:rPr>
          <w:sz w:val="16"/>
          <w:szCs w:val="10"/>
        </w:rPr>
      </w:r>
    </w:p>
    <w:p>
      <w:pPr>
        <w:ind w:firstLine="709"/>
        <w:keepLines/>
        <w:spacing w:line="240" w:lineRule="atLeast"/>
        <w:rPr>
          <w:b/>
          <w:color w:val="000000" w:themeColor="text1"/>
          <w:sz w:val="12"/>
          <w:szCs w:val="28"/>
        </w:rPr>
      </w:pPr>
      <w:r>
        <w:rPr>
          <w:sz w:val="28"/>
          <w:szCs w:val="28"/>
        </w:rPr>
        <w:t xml:space="preserve">Поступления доходов за январь-ноябрь 2024 года превысили выплаты                              по расходам на су</w:t>
      </w:r>
      <w:r>
        <w:rPr>
          <w:color w:val="000000" w:themeColor="text1"/>
          <w:sz w:val="28"/>
          <w:szCs w:val="28"/>
        </w:rPr>
        <w:t xml:space="preserve">мму </w:t>
      </w:r>
      <w:r>
        <w:rPr>
          <w:color w:val="000000" w:themeColor="text1"/>
          <w:sz w:val="28"/>
          <w:szCs w:val="28"/>
        </w:rPr>
        <w:t xml:space="preserve">4 172 555,5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20"/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ind w:firstLine="720"/>
        <w:spacing w:line="240" w:lineRule="auto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Остаток средств на счете местного бюджета по состоянию на 01.12.2024 составил </w:t>
      </w:r>
      <w:r>
        <w:rPr>
          <w:color w:val="auto"/>
          <w:sz w:val="28"/>
          <w:szCs w:val="28"/>
        </w:rPr>
        <w:t xml:space="preserve">5 007 807,3 тыс. руб. (в том числе: собственные средства – </w:t>
      </w:r>
      <w:r>
        <w:rPr>
          <w:color w:val="auto"/>
          <w:sz w:val="28"/>
          <w:szCs w:val="28"/>
        </w:rPr>
        <w:t xml:space="preserve">4 386 250,8               тыс. руб., субсидии, субвенции и иные МБТ – </w:t>
      </w:r>
      <w:r>
        <w:rPr>
          <w:color w:val="auto"/>
          <w:sz w:val="28"/>
          <w:szCs w:val="28"/>
        </w:rPr>
        <w:t xml:space="preserve">621 556,5 тыс. руб.).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</w:r>
    </w:p>
    <w:p>
      <w:pPr>
        <w:pStyle w:val="941"/>
        <w:numPr>
          <w:ilvl w:val="0"/>
          <w:numId w:val="49"/>
        </w:numPr>
        <w:jc w:val="center"/>
        <w:rPr>
          <w:b/>
          <w:bCs/>
          <w:caps/>
          <w:color w:val="auto"/>
          <w:sz w:val="28"/>
          <w:szCs w:val="28"/>
          <w:highlight w:val="none"/>
        </w:rPr>
      </w:pPr>
      <w:r>
        <w:rPr>
          <w:b/>
          <w:caps/>
          <w:color w:val="auto"/>
          <w:sz w:val="28"/>
        </w:rPr>
        <w:t xml:space="preserve">ИСПОЛНЕНИЕ БЮДЖЕТА ПО ДОХОДАМ</w:t>
      </w:r>
      <w:r>
        <w:rPr>
          <w:b/>
          <w:bCs/>
          <w:caps/>
          <w:color w:val="auto"/>
          <w:sz w:val="28"/>
          <w:szCs w:val="28"/>
          <w:highlight w:val="none"/>
        </w:rPr>
      </w:r>
      <w:r>
        <w:rPr>
          <w:b/>
          <w:bCs/>
          <w:caps/>
          <w:color w:val="auto"/>
          <w:sz w:val="28"/>
          <w:szCs w:val="28"/>
          <w:highlight w:val="none"/>
        </w:rPr>
      </w:r>
    </w:p>
    <w:p>
      <w:pPr>
        <w:jc w:val="center"/>
        <w:spacing w:line="276" w:lineRule="auto"/>
        <w:rPr>
          <w:szCs w:val="28"/>
        </w:rPr>
      </w:pPr>
      <w:r>
        <w:rPr>
          <w:szCs w:val="28"/>
        </w:rPr>
        <w:t xml:space="preserve">     (приложение 1 к пояснительной записке)</w:t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Налоговые доходы</w:t>
      </w:r>
      <w:r>
        <w:rPr>
          <w:color w:val="auto"/>
          <w:sz w:val="28"/>
          <w:szCs w:val="28"/>
        </w:rPr>
        <w:t xml:space="preserve"> поступили в бюджет города в сумме </w:t>
      </w:r>
      <w:r>
        <w:rPr>
          <w:b/>
          <w:bCs/>
          <w:color w:val="auto"/>
          <w:sz w:val="28"/>
          <w:szCs w:val="28"/>
        </w:rPr>
        <w:t xml:space="preserve">21 923 259,4              </w:t>
      </w:r>
      <w:r>
        <w:rPr>
          <w:color w:val="auto"/>
          <w:sz w:val="28"/>
          <w:szCs w:val="28"/>
        </w:rPr>
        <w:t xml:space="preserve"> тыс. руб.</w:t>
      </w:r>
      <w:r>
        <w:rPr>
          <w:color w:val="auto"/>
          <w:sz w:val="28"/>
          <w:szCs w:val="28"/>
        </w:rPr>
        <w:t xml:space="preserve">, или </w:t>
      </w:r>
      <w:r>
        <w:rPr>
          <w:b/>
          <w:bCs/>
          <w:color w:val="auto"/>
          <w:sz w:val="28"/>
          <w:szCs w:val="28"/>
        </w:rPr>
        <w:t xml:space="preserve">103,2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 </w:t>
      </w:r>
      <w:r>
        <w:rPr>
          <w:color w:val="auto"/>
          <w:sz w:val="28"/>
          <w:szCs w:val="28"/>
        </w:rPr>
        <w:t xml:space="preserve">отчетного периода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21 236 380,6 </w:t>
      </w:r>
      <w:r>
        <w:rPr>
          <w:color w:val="auto"/>
          <w:sz w:val="28"/>
          <w:szCs w:val="28"/>
        </w:rPr>
        <w:t xml:space="preserve">тыс. руб.)                          и </w:t>
      </w:r>
      <w:r>
        <w:rPr>
          <w:b/>
          <w:bCs/>
          <w:color w:val="auto"/>
          <w:sz w:val="28"/>
          <w:szCs w:val="28"/>
        </w:rPr>
        <w:t xml:space="preserve">88,9 </w:t>
      </w:r>
      <w:r>
        <w:rPr>
          <w:b/>
          <w:bCs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 года (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4 659 439,2 тыс. руб.)</w:t>
      </w:r>
      <w:r>
        <w:rPr>
          <w:color w:val="auto"/>
          <w:sz w:val="28"/>
          <w:szCs w:val="28"/>
        </w:rPr>
        <w:t xml:space="preserve">. За аналогичный период прошлого года поступления составляли 16 708 670,8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b/>
          <w:color w:val="auto"/>
          <w:sz w:val="20"/>
          <w:szCs w:val="20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  <w:sz w:val="20"/>
          <w:szCs w:val="20"/>
        </w:rPr>
      </w:r>
      <w:r>
        <w:rPr>
          <w:b/>
          <w:color w:val="auto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Неналоговые доходы</w:t>
      </w:r>
      <w:r>
        <w:rPr>
          <w:color w:val="auto"/>
          <w:sz w:val="28"/>
          <w:szCs w:val="28"/>
        </w:rPr>
        <w:t xml:space="preserve"> поступили в бюджет города в сумме </w:t>
      </w:r>
      <w:r>
        <w:rPr>
          <w:b/>
          <w:bCs/>
          <w:color w:val="auto"/>
          <w:sz w:val="28"/>
          <w:szCs w:val="28"/>
        </w:rPr>
        <w:t xml:space="preserve">7 205 547,6</w:t>
      </w:r>
      <w:r>
        <w:rPr>
          <w:color w:val="auto"/>
          <w:sz w:val="28"/>
          <w:szCs w:val="28"/>
        </w:rPr>
        <w:t xml:space="preserve">                   тыс. 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</w:rPr>
        <w:t xml:space="preserve">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bCs/>
          <w:color w:val="auto"/>
          <w:sz w:val="28"/>
          <w:szCs w:val="28"/>
        </w:rPr>
        <w:t xml:space="preserve">103,0 </w:t>
      </w:r>
      <w:r>
        <w:rPr>
          <w:b/>
          <w:bCs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к плану </w:t>
      </w:r>
      <w:r>
        <w:rPr>
          <w:color w:val="auto"/>
          <w:sz w:val="28"/>
          <w:szCs w:val="28"/>
        </w:rPr>
        <w:t xml:space="preserve">отчетного периода</w:t>
      </w:r>
      <w:r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 xml:space="preserve">6 996 257,2 </w:t>
      </w:r>
      <w:r>
        <w:rPr>
          <w:color w:val="auto"/>
          <w:sz w:val="28"/>
          <w:szCs w:val="28"/>
        </w:rPr>
        <w:t xml:space="preserve">тыс. руб.) и </w:t>
      </w:r>
      <w:r>
        <w:rPr>
          <w:b/>
          <w:bCs/>
          <w:color w:val="auto"/>
          <w:sz w:val="28"/>
          <w:szCs w:val="28"/>
        </w:rPr>
        <w:t xml:space="preserve">94,3 </w:t>
      </w:r>
      <w:r>
        <w:rPr>
          <w:b/>
          <w:bCs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к плану года (</w:t>
      </w:r>
      <w:r>
        <w:rPr>
          <w:color w:val="auto"/>
          <w:sz w:val="28"/>
          <w:szCs w:val="28"/>
        </w:rPr>
        <w:t xml:space="preserve">7</w:t>
      </w:r>
      <w:r>
        <w:rPr>
          <w:color w:val="auto"/>
          <w:sz w:val="28"/>
          <w:szCs w:val="28"/>
        </w:rPr>
        <w:t xml:space="preserve"> 640 235,8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</w:t>
      </w:r>
      <w:r>
        <w:rPr>
          <w:color w:val="auto"/>
          <w:sz w:val="28"/>
          <w:szCs w:val="28"/>
        </w:rPr>
        <w:t xml:space="preserve"> За аналогичный период прошлого года поступления составляли </w:t>
      </w:r>
      <w:r>
        <w:rPr>
          <w:color w:val="auto"/>
          <w:sz w:val="28"/>
          <w:szCs w:val="28"/>
        </w:rPr>
        <w:t xml:space="preserve">6 404 338,3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Безвозмездные поступления</w:t>
      </w:r>
      <w:r>
        <w:rPr>
          <w:color w:val="auto"/>
          <w:sz w:val="28"/>
          <w:szCs w:val="28"/>
        </w:rPr>
        <w:t xml:space="preserve"> от бюджетов других уровней поступили                   </w:t>
      </w:r>
      <w:r>
        <w:rPr>
          <w:color w:val="auto"/>
          <w:sz w:val="28"/>
          <w:szCs w:val="28"/>
        </w:rPr>
        <w:t xml:space="preserve">в сумме </w:t>
      </w:r>
      <w:r>
        <w:rPr>
          <w:b/>
          <w:bCs/>
          <w:color w:val="auto"/>
          <w:sz w:val="28"/>
          <w:szCs w:val="28"/>
        </w:rPr>
        <w:t xml:space="preserve">23 188 470,3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или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99,9 %</w:t>
      </w:r>
      <w:r>
        <w:rPr>
          <w:color w:val="auto"/>
          <w:sz w:val="28"/>
          <w:szCs w:val="28"/>
        </w:rPr>
        <w:t xml:space="preserve"> к плану </w:t>
      </w:r>
      <w:r>
        <w:rPr>
          <w:color w:val="auto"/>
          <w:sz w:val="28"/>
          <w:szCs w:val="28"/>
        </w:rPr>
        <w:t xml:space="preserve">отчетного периода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23 215 123,4 </w:t>
      </w:r>
      <w:r>
        <w:rPr>
          <w:color w:val="auto"/>
          <w:sz w:val="28"/>
          <w:szCs w:val="28"/>
        </w:rPr>
        <w:t xml:space="preserve">тыс. руб.)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87,1 % </w:t>
      </w:r>
      <w:r>
        <w:rPr>
          <w:color w:val="auto"/>
          <w:sz w:val="28"/>
          <w:szCs w:val="28"/>
        </w:rPr>
        <w:t xml:space="preserve">к </w:t>
      </w:r>
      <w:r>
        <w:rPr>
          <w:color w:val="auto"/>
          <w:sz w:val="28"/>
          <w:szCs w:val="28"/>
        </w:rPr>
        <w:t xml:space="preserve">плану года (26 619 840,8</w:t>
      </w:r>
      <w:r>
        <w:rPr>
          <w:color w:val="auto"/>
          <w:sz w:val="28"/>
          <w:szCs w:val="28"/>
        </w:rPr>
        <w:t xml:space="preserve"> тыс. руб.).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 аналогичный период прошлого года поступления составляли 25 778 127,4 </w:t>
      </w:r>
      <w:r>
        <w:rPr>
          <w:color w:val="auto"/>
          <w:sz w:val="28"/>
          <w:szCs w:val="28"/>
        </w:rPr>
        <w:t xml:space="preserve">тыс. руб.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</w:t>
      </w:r>
      <w:r>
        <w:rPr>
          <w:color w:val="auto"/>
          <w:sz w:val="28"/>
          <w:szCs w:val="28"/>
        </w:rPr>
        <w:t xml:space="preserve">назначение, прошлых лет, отражаемая в доходах бюджета со знаком «минус»,                в общем объеме </w:t>
      </w:r>
      <w:r>
        <w:rPr>
          <w:color w:val="auto"/>
          <w:sz w:val="28"/>
          <w:szCs w:val="28"/>
        </w:rPr>
        <w:t xml:space="preserve">142 564,3 </w:t>
      </w:r>
      <w:r>
        <w:rPr>
          <w:color w:val="auto"/>
          <w:sz w:val="28"/>
          <w:szCs w:val="28"/>
        </w:rPr>
        <w:t xml:space="preserve">тыс. руб. За аналогичный период прошлого года сумма возврата составляла </w:t>
      </w:r>
      <w:r>
        <w:rPr>
          <w:color w:val="auto"/>
          <w:sz w:val="28"/>
          <w:szCs w:val="28"/>
        </w:rPr>
        <w:t xml:space="preserve">325 466,3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20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0"/>
        <w:jc w:val="both"/>
        <w:spacing w:line="240" w:lineRule="auto"/>
        <w:tabs>
          <w:tab w:val="left" w:pos="709" w:leader="none"/>
        </w:tabs>
        <w:rPr>
          <w:color w:val="auto"/>
        </w:rPr>
      </w:pPr>
      <w:r>
        <w:rPr>
          <w:color w:val="auto"/>
          <w:sz w:val="28"/>
          <w:szCs w:val="28"/>
        </w:rPr>
        <w:tab/>
        <w:t xml:space="preserve">Анализ исполнения плана </w:t>
      </w:r>
      <w:r>
        <w:rPr>
          <w:color w:val="auto"/>
          <w:sz w:val="28"/>
          <w:szCs w:val="28"/>
        </w:rPr>
        <w:t xml:space="preserve">по доходам за январь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ноябрь 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по </w:t>
      </w:r>
      <w:r>
        <w:rPr>
          <w:color w:val="auto"/>
          <w:sz w:val="28"/>
          <w:szCs w:val="28"/>
        </w:rPr>
        <w:t xml:space="preserve">основным</w:t>
      </w:r>
      <w:r>
        <w:rPr>
          <w:color w:val="auto"/>
          <w:sz w:val="28"/>
          <w:szCs w:val="28"/>
        </w:rPr>
        <w:t xml:space="preserve"> бюджетообразующим поступлениям выглядит следующим образом:</w:t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состоянию на 01.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12.2024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фактическое поступление 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  <w:lang w:eastAsia="ru-RU"/>
        </w:rPr>
        <w:t xml:space="preserve">налога на доходы физических лиц 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  <w:lang w:eastAsia="ru-RU"/>
        </w:rPr>
        <w:t xml:space="preserve">составило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16 831 725,6 тыс. руб., или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103,5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% к плану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(16 257 884,2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тыс. руб.)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87,3 %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уточненному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19 291 111,4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тыс. руб.).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134,7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%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Согласно итогам социально-экономического развития города Перми, рост среднемесячной заработной платы работников крупных и средних предприятий города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январь - сентябрь 2024 года относительно аналогичного периода прошлого года составил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118,8 %.</w:t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ff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За 10 месяцев 2024 года сумма возвратов по налогу в связи с предоставлением социальных, имущественных и других вычетов физическим лицам составила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1 362 000,8 тыс. руб., что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255 392,0 тыс. руб., или на 15,8 % меньше относительно аналогичного периода прошлого года. </w:t>
      </w:r>
      <w:r>
        <w:rPr>
          <w:rFonts w:ascii="Times New Roman" w:hAnsi="Times New Roman" w:eastAsia="Times New Roman" w:cs="Times New Roman"/>
          <w:color w:val="ff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ff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</w:p>
    <w:p>
      <w:pPr>
        <w:contextualSpacing w:val="0"/>
        <w:ind w:firstLine="720"/>
        <w:jc w:val="both"/>
        <w:spacing w:before="0" w:after="0" w:line="240" w:lineRule="auto"/>
        <w:widowControl w:val="off"/>
        <w:rPr>
          <w:iCs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налогоо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  <w:lang w:eastAsia="ru-RU"/>
        </w:rPr>
        <w:t xml:space="preserve">бложения,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фактическое поступление составил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1 133 990,9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тыс. руб.,                  или 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  <w:lang w:eastAsia="ru-RU"/>
        </w:rPr>
        <w:t xml:space="preserve">108,1 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  <w:lang w:eastAsia="ru-RU"/>
        </w:rPr>
        <w:t xml:space="preserve">%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к плану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1 048 640,8 тыс. руб.) и 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  <w:lang w:eastAsia="ru-RU"/>
        </w:rPr>
        <w:t xml:space="preserve">105,4 %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 w:themeColor="text1"/>
          <w:sz w:val="28"/>
          <w:szCs w:val="28"/>
          <w:highlight w:val="white"/>
          <w:lang w:eastAsia="ru-RU"/>
        </w:rPr>
        <w:t xml:space="preserve">         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              к уточненному плану года (1 075 733,5 тыс. руб.).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132,1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%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</w:r>
      <w:r>
        <w:rPr>
          <w:iCs/>
          <w:highlight w:val="none"/>
        </w:rPr>
      </w:r>
    </w:p>
    <w:p>
      <w:pPr>
        <w:contextualSpacing w:val="0"/>
        <w:ind w:firstLine="720"/>
        <w:jc w:val="both"/>
        <w:spacing w:before="0" w:after="0" w:line="240" w:lineRule="auto"/>
        <w:widowControl w:val="off"/>
        <w:rPr>
          <w:sz w:val="20"/>
          <w:szCs w:val="20"/>
          <w:highlight w:val="none"/>
        </w:rPr>
        <w:suppressLineNumbers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contextualSpacing w:val="0"/>
        <w:ind w:firstLine="72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  <w:lang w:eastAsia="ru-RU"/>
        </w:rPr>
        <w:t xml:space="preserve">единому налогу на вмененный доход для отдельных видов деятельности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поступили платежи в счет погашения задолженности в сумме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968,8 тыс. руб.</w:t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highlight w:val="white"/>
          <w:lang w:eastAsia="ru-RU"/>
        </w:rPr>
        <w:t xml:space="preserve">налогу, взимаемому в связи с применением патентной системы налогообложения,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фактическое поступление составило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32 985,0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тыс. руб.,                       или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94,2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% к плану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353 434,4 тыс. руб.)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93,8 % к плану года (354 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934,4 тыс. руб.).</w:t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Неисполнение плана обусловлено ростом количества налогоплательщиков, воспользовавшихся прав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ом уменьшения налога на сумму уплаченных страховых взносов.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Cs/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white"/>
        </w:rPr>
      </w:pP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поступил в сумме </w:t>
      </w:r>
      <w:r>
        <w:rPr>
          <w:color w:val="000000" w:themeColor="text1"/>
          <w:sz w:val="28"/>
          <w:szCs w:val="28"/>
          <w:highlight w:val="white"/>
        </w:rPr>
        <w:t xml:space="preserve">983 341,5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что составляет 100,4 % к плану отчетного периода (979 000,0 тыс. руб.) и 78,6 %                    к плану года </w:t>
      </w:r>
      <w:r>
        <w:rPr>
          <w:iCs/>
          <w:color w:val="000000" w:themeColor="text1"/>
          <w:sz w:val="28"/>
          <w:szCs w:val="28"/>
          <w:highlight w:val="white"/>
        </w:rPr>
        <w:t xml:space="preserve">(1 250 550,2 тыс. руб.).</w:t>
      </w:r>
      <w:r>
        <w:rPr>
          <w:color w:val="000000" w:themeColor="text1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Поступили платежи в счет уплаты налога                    за 2023 год по сроку уплаты 1 декабря. </w:t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</w:t>
      </w:r>
      <w:r>
        <w:rPr>
          <w:iCs/>
          <w:color w:val="000000" w:themeColor="text1"/>
          <w:sz w:val="28"/>
          <w:szCs w:val="28"/>
          <w:highlight w:val="white"/>
        </w:rPr>
        <w:t xml:space="preserve">аналогичного периода прошлого года поступление налога увеличилось на 5,6 %</w:t>
      </w:r>
      <w:r>
        <w:rPr>
          <w:iCs/>
          <w:color w:val="000000" w:themeColor="text1"/>
          <w:sz w:val="28"/>
          <w:szCs w:val="28"/>
          <w:highlight w:val="non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Задолженность по налогу по состоянию на 01.11.2024 снизилась на </w:t>
      </w:r>
      <w:r>
        <w:rPr>
          <w:color w:val="000000" w:themeColor="text1"/>
          <w:sz w:val="28"/>
          <w:szCs w:val="28"/>
          <w:highlight w:val="white"/>
        </w:rPr>
        <w:t xml:space="preserve">141 538,9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 и составила </w:t>
      </w:r>
      <w:r>
        <w:rPr>
          <w:color w:val="000000" w:themeColor="text1"/>
          <w:sz w:val="28"/>
          <w:szCs w:val="28"/>
          <w:highlight w:val="white"/>
        </w:rPr>
        <w:t xml:space="preserve">114 324,1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000000" w:themeColor="text1"/>
          <w:sz w:val="18"/>
          <w:szCs w:val="18"/>
          <w:highlight w:val="yellow"/>
        </w:rPr>
      </w:pPr>
      <w:r>
        <w:rPr>
          <w:b/>
          <w:color w:val="000000" w:themeColor="text1"/>
          <w:sz w:val="20"/>
          <w:szCs w:val="20"/>
          <w:highlight w:val="yellow"/>
        </w:rPr>
      </w:r>
      <w:r>
        <w:rPr>
          <w:b/>
          <w:color w:val="000000" w:themeColor="text1"/>
          <w:sz w:val="18"/>
          <w:szCs w:val="18"/>
          <w:highlight w:val="yellow"/>
        </w:rPr>
      </w:r>
      <w:r>
        <w:rPr>
          <w:b/>
          <w:color w:val="000000" w:themeColor="text1"/>
          <w:sz w:val="18"/>
          <w:szCs w:val="18"/>
          <w:highlight w:val="yellow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b/>
          <w:iCs/>
          <w:color w:val="000000" w:themeColor="text1"/>
          <w:sz w:val="28"/>
          <w:szCs w:val="28"/>
          <w:highlight w:val="white"/>
        </w:rPr>
        <w:t xml:space="preserve">Земельный налог</w:t>
      </w:r>
      <w:r>
        <w:rPr>
          <w:color w:val="000000" w:themeColor="text1"/>
          <w:sz w:val="28"/>
          <w:szCs w:val="28"/>
          <w:highlight w:val="white"/>
        </w:rPr>
        <w:t xml:space="preserve"> поступил в сумме </w:t>
      </w:r>
      <w:r>
        <w:rPr>
          <w:color w:val="000000" w:themeColor="text1"/>
          <w:sz w:val="28"/>
          <w:szCs w:val="28"/>
          <w:highlight w:val="white"/>
        </w:rPr>
        <w:t xml:space="preserve">2 254 230,4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</w:t>
      </w:r>
      <w:r>
        <w:rPr>
          <w:iCs/>
          <w:color w:val="000000" w:themeColor="text1"/>
          <w:sz w:val="28"/>
          <w:szCs w:val="28"/>
          <w:highlight w:val="white"/>
        </w:rPr>
        <w:t xml:space="preserve">97,1 % к плану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2 321 206,0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94,6 % к плану года (2 382 735,3                        тыс. руб.).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поступление составило 110,9 %</w:t>
      </w:r>
      <w:r>
        <w:rPr>
          <w:color w:val="000000" w:themeColor="text1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Задолженность по налогу по состоянию на 01.11.2024 составляет </w:t>
      </w:r>
      <w:r>
        <w:rPr>
          <w:iCs/>
          <w:color w:val="000000" w:themeColor="text1"/>
          <w:sz w:val="28"/>
          <w:szCs w:val="28"/>
          <w:highlight w:val="white"/>
        </w:rPr>
        <w:br/>
        <w:t xml:space="preserve">150 583,9 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руб., в том чис</w:t>
      </w:r>
      <w:r>
        <w:rPr>
          <w:iCs/>
          <w:color w:val="000000" w:themeColor="text1"/>
          <w:sz w:val="28"/>
          <w:szCs w:val="28"/>
          <w:highlight w:val="white"/>
        </w:rPr>
        <w:t xml:space="preserve">ле задолженность организаций 91 110,6 тыс. руб., физических лиц – 59 473,3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 По сравнению с 01.01.2024 года</w:t>
      </w:r>
      <w:r>
        <w:rPr>
          <w:iCs/>
          <w:color w:val="000000" w:themeColor="text1"/>
          <w:sz w:val="28"/>
          <w:szCs w:val="28"/>
          <w:highlight w:val="white"/>
        </w:rPr>
        <w:t xml:space="preserve"> задолженность уменьшилась на 70 972,1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в том числе </w:t>
      </w:r>
      <w:r>
        <w:rPr>
          <w:iCs/>
          <w:color w:val="000000" w:themeColor="text1"/>
          <w:sz w:val="28"/>
          <w:szCs w:val="28"/>
          <w:highlight w:val="white"/>
        </w:rPr>
        <w:t xml:space="preserve">по организациям</w:t>
      </w:r>
      <w:r>
        <w:rPr>
          <w:iCs/>
          <w:color w:val="000000" w:themeColor="text1"/>
          <w:sz w:val="28"/>
          <w:szCs w:val="28"/>
          <w:highlight w:val="white"/>
        </w:rPr>
        <w:t xml:space="preserve"> снизилась </w:t>
      </w:r>
      <w:r>
        <w:rPr>
          <w:iCs/>
          <w:color w:val="000000" w:themeColor="text1"/>
          <w:sz w:val="28"/>
          <w:szCs w:val="28"/>
          <w:highlight w:val="white"/>
        </w:rPr>
        <w:br/>
        <w:t xml:space="preserve">на 18 557,0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по физическим лицам</w:t>
      </w:r>
      <w:r>
        <w:rPr>
          <w:iCs/>
          <w:color w:val="000000" w:themeColor="text1"/>
          <w:sz w:val="28"/>
          <w:szCs w:val="28"/>
          <w:highlight w:val="white"/>
        </w:rPr>
        <w:t xml:space="preserve"> - на 52 415,1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ind w:firstLine="708"/>
        <w:spacing w:line="240" w:lineRule="auto"/>
        <w:rPr>
          <w:color w:val="000000" w:themeColor="text1"/>
          <w:sz w:val="20"/>
          <w:szCs w:val="20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left="28" w:firstLine="709"/>
        <w:jc w:val="both"/>
        <w:spacing w:before="0" w:after="0" w:line="240" w:lineRule="auto"/>
        <w:rPr>
          <w:iCs/>
          <w:color w:val="00b0f0" w:themeColor="text1"/>
          <w:sz w:val="28"/>
          <w:szCs w:val="28"/>
          <w:highlight w:val="none"/>
        </w:rPr>
        <w:suppressLineNumbers w:val="0"/>
      </w:pPr>
      <w:r>
        <w:rPr>
          <w:b/>
          <w:iCs/>
          <w:color w:val="000000" w:themeColor="text1"/>
          <w:sz w:val="28"/>
          <w:szCs w:val="28"/>
          <w:highlight w:val="white"/>
        </w:rPr>
        <w:t xml:space="preserve">Доходы в виде прибыли, приходящейся на доли в уставных (складочных) капиталах хозяйственных товариществ и обществ,                                    или дивидендов по акциям, принадлежащим городским округам,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поступили  в сумме 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iCs/>
          <w:color w:val="000000" w:themeColor="text1"/>
          <w:sz w:val="28"/>
          <w:szCs w:val="28"/>
          <w:highlight w:val="white"/>
        </w:rPr>
        <w:t xml:space="preserve">403,8 тыс. руб.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что в 2,8 раза превышает план отчетного периода и план года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640,0 тыс. руб.).</w:t>
      </w:r>
      <w:r>
        <w:rPr>
          <w:iCs/>
          <w:color w:val="000000" w:themeColor="text1"/>
          <w:sz w:val="28"/>
          <w:szCs w:val="28"/>
          <w:highlight w:val="white"/>
        </w:rPr>
        <w:t xml:space="preserve"> Перевыполнение плана обусловлено распределением чистой прибыли ООО «ЦПР им. М. Горького» за 2023 год.</w:t>
      </w:r>
      <w:r>
        <w:rPr>
          <w:iCs/>
          <w:color w:val="00b0f0" w:themeColor="text1"/>
          <w:sz w:val="28"/>
          <w:szCs w:val="28"/>
          <w:highlight w:val="none"/>
        </w:rPr>
      </w:r>
      <w:r>
        <w:rPr>
          <w:iCs/>
          <w:color w:val="00b0f0" w:themeColor="text1"/>
          <w:sz w:val="28"/>
          <w:szCs w:val="28"/>
          <w:highlight w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</w:t>
      </w:r>
      <w:r>
        <w:rPr>
          <w:b/>
          <w:color w:val="000000" w:themeColor="text1"/>
          <w:sz w:val="28"/>
          <w:szCs w:val="28"/>
          <w:highlight w:val="white"/>
        </w:rPr>
        <w:t xml:space="preserve">ох</w:t>
      </w:r>
      <w:r>
        <w:rPr>
          <w:b/>
          <w:color w:val="000000" w:themeColor="text1"/>
          <w:sz w:val="28"/>
          <w:szCs w:val="28"/>
          <w:highlight w:val="white"/>
        </w:rPr>
        <w:t xml:space="preserve">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 (за исключением средств от продажи права на заключение договоров аренды),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272 798,5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100,9 % к плану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270 450,0</w:t>
      </w:r>
      <w:r>
        <w:rPr>
          <w:color w:val="000000" w:themeColor="text1"/>
          <w:sz w:val="28"/>
          <w:szCs w:val="28"/>
          <w:highlight w:val="white"/>
        </w:rPr>
        <w:t xml:space="preserve"> тыс. руб.) и 97,1 %              к плану года (280 952,0 тыс. руб.).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счет погашения задолженности прошлых лет в 2024 году в бюджет поступило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17 664,6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тыс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уб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уменьшились</w:t>
      </w:r>
      <w:r>
        <w:rPr>
          <w:color w:val="000000" w:themeColor="text1"/>
          <w:sz w:val="28"/>
          <w:szCs w:val="28"/>
          <w:highlight w:val="white"/>
        </w:rPr>
        <w:t xml:space="preserve"> на 3 651,4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на 1,3 %.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color w:val="000000" w:themeColor="text1"/>
          <w:sz w:val="20"/>
          <w:szCs w:val="20"/>
          <w:highlight w:val="yellow"/>
        </w:rPr>
        <w:suppressLineNumbers w:val="0"/>
      </w:pP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color w:val="000000" w:themeColor="text1"/>
          <w:sz w:val="20"/>
          <w:szCs w:val="20"/>
          <w:highlight w:val="yellow"/>
        </w:rPr>
      </w:r>
      <w:r>
        <w:rPr>
          <w:b/>
          <w:color w:val="000000" w:themeColor="text1"/>
          <w:sz w:val="20"/>
          <w:szCs w:val="20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 (за исключением средств от продажи права на заключение договоров аренды),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42 799,5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на 5,3 %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40 630,0</w:t>
      </w:r>
      <w:r>
        <w:rPr>
          <w:color w:val="000000" w:themeColor="text1"/>
          <w:sz w:val="28"/>
          <w:szCs w:val="28"/>
          <w:highlight w:val="white"/>
        </w:rPr>
        <w:t xml:space="preserve"> тыс. руб.) и составляют 100,0 % к плану года (42 797,9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отчетного периода обусловлено поступлением платежей п</w:t>
      </w:r>
      <w:r>
        <w:rPr>
          <w:color w:val="000000" w:themeColor="text1"/>
          <w:sz w:val="28"/>
          <w:szCs w:val="28"/>
          <w:highlight w:val="white"/>
        </w:rPr>
        <w:t xml:space="preserve">о договорам, заключенным после формирования бюджетного задания на 2024 год.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</w:t>
      </w:r>
      <w:r>
        <w:rPr>
          <w:color w:val="000000" w:themeColor="text1"/>
          <w:sz w:val="28"/>
          <w:szCs w:val="28"/>
          <w:highlight w:val="white"/>
        </w:rPr>
        <w:t xml:space="preserve">ления по данному виду дохода увеличились на 1 284,1 тыс. руб., или на 3,1 %.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000000" w:themeColor="text1"/>
          <w:sz w:val="20"/>
          <w:szCs w:val="20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земельных </w:t>
      </w:r>
      <w:r>
        <w:rPr>
          <w:b/>
          <w:color w:val="000000" w:themeColor="text1"/>
          <w:sz w:val="28"/>
          <w:szCs w:val="28"/>
          <w:highlight w:val="white"/>
        </w:rPr>
        <w:t xml:space="preserve">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в целом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484 054,6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110,6 % от плана отчет</w:t>
      </w:r>
      <w:r>
        <w:rPr>
          <w:color w:val="000000" w:themeColor="text1"/>
          <w:sz w:val="28"/>
          <w:szCs w:val="28"/>
          <w:highlight w:val="white"/>
        </w:rPr>
        <w:t xml:space="preserve">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437 557,7</w:t>
      </w:r>
      <w:r>
        <w:rPr>
          <w:color w:val="000000" w:themeColor="text1"/>
          <w:sz w:val="28"/>
          <w:szCs w:val="28"/>
          <w:highlight w:val="white"/>
        </w:rPr>
        <w:t xml:space="preserve"> тыс. руб.) и 110,1 % от уточненного плана года (439 581,6                    тыс. руб.). Относительно аналогичного периода прошлого года поступления                      по данному виду дохода увеличились в 2,2 раза.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color w:val="000000" w:themeColor="text1"/>
          <w:sz w:val="20"/>
          <w:szCs w:val="20"/>
          <w:highlight w:val="yellow"/>
        </w:rPr>
      </w:pPr>
      <w:r>
        <w:rPr>
          <w:iCs/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0"/>
          <w:szCs w:val="20"/>
          <w:highlight w:val="yellow"/>
        </w:rPr>
      </w:r>
      <w:r>
        <w:rPr>
          <w:color w:val="000000" w:themeColor="text1"/>
          <w:sz w:val="20"/>
          <w:szCs w:val="20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4 731 644,8 тыс. руб., что составляет 97,9</w:t>
      </w:r>
      <w:r>
        <w:rPr>
          <w:color w:val="000000" w:themeColor="text1"/>
          <w:sz w:val="28"/>
          <w:szCs w:val="28"/>
          <w:highlight w:val="white"/>
        </w:rPr>
        <w:t xml:space="preserve">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(4 831 782,3</w:t>
      </w:r>
      <w:r>
        <w:rPr>
          <w:color w:val="000000" w:themeColor="text1"/>
          <w:sz w:val="28"/>
          <w:szCs w:val="28"/>
          <w:highlight w:val="white"/>
        </w:rPr>
        <w:t xml:space="preserve"> тыс. руб.) и 88,7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(5 333 070,0                          тыс. руб.). Относительно аналогичного периода прошлого года поступления по данному виду дохода составили 107,1</w:t>
      </w:r>
      <w:r>
        <w:rPr>
          <w:color w:val="000000" w:themeColor="text1"/>
          <w:sz w:val="28"/>
          <w:szCs w:val="28"/>
          <w:highlight w:val="white"/>
        </w:rPr>
        <w:t xml:space="preserve">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реализации проездных документов отдельным категориям граж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дан города П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ерми,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531 288,1</w:t>
      </w:r>
      <w:r>
        <w:rPr>
          <w:color w:val="000000" w:themeColor="text1"/>
          <w:sz w:val="28"/>
          <w:szCs w:val="28"/>
          <w:highlight w:val="white"/>
        </w:rPr>
        <w:t xml:space="preserve"> т</w:t>
      </w:r>
      <w:r>
        <w:rPr>
          <w:color w:val="000000" w:themeColor="text1"/>
          <w:sz w:val="28"/>
          <w:szCs w:val="28"/>
          <w:highlight w:val="white"/>
        </w:rPr>
        <w:t xml:space="preserve">ыс. руб., или 101,1 %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                 (</w:t>
      </w:r>
      <w:r>
        <w:rPr>
          <w:color w:val="000000" w:themeColor="text1"/>
          <w:sz w:val="28"/>
          <w:szCs w:val="28"/>
          <w:highlight w:val="white"/>
        </w:rPr>
        <w:t xml:space="preserve">525 443,7</w:t>
      </w:r>
      <w:r>
        <w:rPr>
          <w:color w:val="000000" w:themeColor="text1"/>
          <w:sz w:val="28"/>
          <w:szCs w:val="28"/>
          <w:highlight w:val="white"/>
        </w:rPr>
        <w:t xml:space="preserve"> т</w:t>
      </w:r>
      <w:r>
        <w:rPr>
          <w:color w:val="000000" w:themeColor="text1"/>
          <w:sz w:val="28"/>
          <w:szCs w:val="28"/>
          <w:highlight w:val="white"/>
        </w:rPr>
        <w:t xml:space="preserve">ыс. руб.) и 89,1 % к плану года (596 188,0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реализации единых проездных документов,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 администри-руемые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</w:t>
      </w:r>
      <w:r>
        <w:rPr>
          <w:color w:val="000000" w:themeColor="text1"/>
          <w:sz w:val="28"/>
          <w:szCs w:val="28"/>
          <w:highlight w:val="white"/>
        </w:rPr>
        <w:t xml:space="preserve">е </w:t>
      </w:r>
      <w:r>
        <w:rPr>
          <w:color w:val="000000" w:themeColor="text1"/>
          <w:sz w:val="28"/>
          <w:szCs w:val="28"/>
          <w:highlight w:val="white"/>
        </w:rPr>
        <w:t xml:space="preserve">367 184,1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руб.,                или 91,1 %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color w:val="000000" w:themeColor="text1"/>
          <w:sz w:val="28"/>
          <w:szCs w:val="28"/>
          <w:highlight w:val="white"/>
        </w:rPr>
        <w:t xml:space="preserve">403 026,5</w:t>
      </w:r>
      <w:r>
        <w:rPr>
          <w:color w:val="000000" w:themeColor="text1"/>
          <w:sz w:val="28"/>
          <w:szCs w:val="28"/>
          <w:highlight w:val="white"/>
        </w:rPr>
        <w:t xml:space="preserve"> тыс. руб.) и 80,7 % к плану года (454 879,5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перечисления платы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за проезд пассажиров и провоз багажа, 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</w:t>
      </w:r>
      <w:r>
        <w:rPr>
          <w:color w:val="000000" w:themeColor="text1"/>
          <w:sz w:val="28"/>
          <w:szCs w:val="28"/>
          <w:highlight w:val="white"/>
        </w:rPr>
        <w:t xml:space="preserve">е </w:t>
      </w:r>
      <w:r>
        <w:rPr>
          <w:color w:val="000000" w:themeColor="text1"/>
          <w:sz w:val="28"/>
          <w:szCs w:val="28"/>
          <w:highlight w:val="white"/>
        </w:rPr>
        <w:t xml:space="preserve">3 741 120,0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96,5 % к плану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3 878 035,9</w:t>
      </w:r>
      <w:r>
        <w:rPr>
          <w:color w:val="000000" w:themeColor="text1"/>
          <w:sz w:val="28"/>
          <w:szCs w:val="28"/>
          <w:highlight w:val="white"/>
        </w:rPr>
        <w:t xml:space="preserve"> тыс. руб.) и 87</w:t>
      </w:r>
      <w:r>
        <w:rPr>
          <w:color w:val="000000" w:themeColor="text1"/>
          <w:sz w:val="28"/>
          <w:szCs w:val="28"/>
          <w:highlight w:val="white"/>
        </w:rPr>
        <w:t xml:space="preserve">,9 %                      к плану года (4 256 276,0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shd w:val="clear" w:color="ffffff" w:themeColor="background1" w:fill="ffffff" w:themeFill="background1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96,5 %                          от 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0"/>
          <w:szCs w:val="20"/>
          <w:highlight w:val="yellow"/>
        </w:rPr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0"/>
          <w:szCs w:val="20"/>
          <w:highlight w:val="yellow"/>
        </w:rPr>
      </w:r>
      <w:r>
        <w:rPr>
          <w:color w:val="000000" w:themeColor="text1"/>
          <w:sz w:val="20"/>
          <w:szCs w:val="20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участков, находящихся в государст-венной и муниципальной собственности, 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</w:t>
      </w:r>
      <w:r>
        <w:rPr>
          <w:color w:val="000000" w:themeColor="text1"/>
          <w:sz w:val="28"/>
          <w:szCs w:val="28"/>
          <w:highlight w:val="white"/>
        </w:rPr>
        <w:t xml:space="preserve">е </w:t>
      </w:r>
      <w:r>
        <w:rPr>
          <w:color w:val="000000" w:themeColor="text1"/>
          <w:sz w:val="28"/>
          <w:szCs w:val="28"/>
          <w:highlight w:val="white"/>
        </w:rPr>
        <w:t xml:space="preserve">215 115,1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1,3 раза больше плана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166 380,0</w:t>
      </w:r>
      <w:r>
        <w:rPr>
          <w:color w:val="000000" w:themeColor="text1"/>
          <w:sz w:val="28"/>
          <w:szCs w:val="28"/>
          <w:highlight w:val="white"/>
        </w:rPr>
        <w:t xml:space="preserve"> тыс. руб.) и составляет 113,6 % к уточненному плану года (189 360,8 тыс. руб.). Относительно аналогичного периода прошлого года поступления по данному виду дохода составили 106,7 %.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  <w:r>
        <w:rPr>
          <w:b/>
          <w:color w:val="000000" w:themeColor="text1"/>
          <w:sz w:val="20"/>
          <w:szCs w:val="20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платы за увеличение площади з</w:t>
      </w:r>
      <w:r>
        <w:rPr>
          <w:b/>
          <w:color w:val="000000" w:themeColor="text1"/>
          <w:sz w:val="28"/>
          <w:szCs w:val="28"/>
          <w:highlight w:val="white"/>
        </w:rPr>
        <w:t xml:space="preserve">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               в государственной или муниципальной собственности,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  <w:br/>
      </w:r>
      <w:r>
        <w:rPr>
          <w:color w:val="000000" w:themeColor="text1"/>
          <w:sz w:val="28"/>
          <w:szCs w:val="28"/>
          <w:highlight w:val="white"/>
        </w:rPr>
        <w:t xml:space="preserve">138 417,1 тыс. руб., что в 1,9 раза выше плана отчетного периода (</w:t>
      </w:r>
      <w:r>
        <w:rPr>
          <w:color w:val="000000" w:themeColor="text1"/>
          <w:sz w:val="28"/>
          <w:szCs w:val="28"/>
          <w:highlight w:val="white"/>
        </w:rPr>
        <w:t xml:space="preserve">72 877,0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тыс. руб.) и составляет 168,4 % к уточненному плану года (82 177,0 тыс. руб.).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151,8 %.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2"/>
          <w:szCs w:val="22"/>
          <w:highlight w:val="white"/>
        </w:rPr>
      </w:pP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white"/>
        </w:rPr>
      </w:r>
      <w:r>
        <w:rPr>
          <w:color w:val="000000" w:themeColor="text1"/>
          <w:sz w:val="22"/>
          <w:szCs w:val="22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auto" w:themeColor="text1"/>
          <w:sz w:val="28"/>
          <w:szCs w:val="28"/>
          <w:highlight w:val="none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администри-руемые департаментом имущественных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 поступили в сумм</w:t>
      </w:r>
      <w:r>
        <w:rPr>
          <w:rFonts w:eastAsia="Calibri"/>
          <w:color w:val="auto"/>
          <w:sz w:val="28"/>
          <w:szCs w:val="28"/>
          <w:highlight w:val="white"/>
        </w:rPr>
        <w:t xml:space="preserve">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73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color w:val="auto"/>
          <w:sz w:val="28"/>
          <w:szCs w:val="28"/>
          <w:highlight w:val="white"/>
        </w:rPr>
        <w:t xml:space="preserve">118,0 тыс. руб., что составляет 85,5 % к плану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(85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color w:val="auto"/>
          <w:sz w:val="28"/>
          <w:szCs w:val="28"/>
          <w:highlight w:val="white"/>
        </w:rPr>
        <w:t xml:space="preserve">500,0 тыс. руб.)                     и 76,9 % к плану года (95 135,2 тыс. руб.)</w:t>
      </w:r>
      <w:r>
        <w:rPr>
          <w:rFonts w:eastAsia="Calibri"/>
          <w:color w:val="auto"/>
          <w:sz w:val="28"/>
          <w:szCs w:val="28"/>
          <w:highlight w:val="white"/>
        </w:rPr>
        <w:t xml:space="preserve">. </w:t>
      </w:r>
      <w:r>
        <w:rPr>
          <w:rFonts w:eastAsia="Calibri"/>
          <w:color w:val="auto"/>
          <w:sz w:val="28"/>
          <w:szCs w:val="28"/>
          <w:highlight w:val="none"/>
        </w:rPr>
        <w:t xml:space="preserve">Невыполнение плана отчетного периода обусловлено увеличением </w:t>
      </w:r>
      <w:r>
        <w:rPr>
          <w:rFonts w:eastAsia="Calibri"/>
          <w:color w:val="auto"/>
          <w:sz w:val="28"/>
          <w:szCs w:val="28"/>
          <w:highlight w:val="none"/>
        </w:rPr>
        <w:t xml:space="preserve">количества заявок на предоставление льготы</w:t>
      </w:r>
      <w:r>
        <w:rPr>
          <w:rFonts w:eastAsia="Calibri"/>
          <w:color w:val="auto"/>
          <w:sz w:val="28"/>
          <w:szCs w:val="28"/>
          <w:highlight w:val="none"/>
        </w:rPr>
        <w:t xml:space="preserve">                             и </w:t>
      </w:r>
      <w:r>
        <w:rPr>
          <w:color w:val="auto"/>
          <w:sz w:val="28"/>
          <w:szCs w:val="28"/>
          <w:highlight w:val="none"/>
        </w:rPr>
        <w:t xml:space="preserve">нарушением арендаторами договорных обязательств по оплате.</w:t>
      </w:r>
      <w:r>
        <w:rPr>
          <w:rFonts w:eastAsia="Calibri"/>
          <w:color w:val="auto" w:themeColor="text1"/>
          <w:sz w:val="28"/>
          <w:szCs w:val="28"/>
          <w:highlight w:val="none"/>
        </w:rPr>
      </w:r>
      <w:r>
        <w:rPr>
          <w:rFonts w:eastAsia="Calibri"/>
          <w:color w:val="auto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 w:themeColor="text1"/>
          <w:sz w:val="28"/>
          <w:szCs w:val="28"/>
          <w:highlight w:val="none"/>
        </w:rPr>
        <w:outlineLvl w:val="0"/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97,8 %. </w:t>
      </w:r>
      <w:r>
        <w:rPr>
          <w:color w:val="auto" w:themeColor="text1"/>
          <w:sz w:val="28"/>
          <w:szCs w:val="28"/>
          <w:highlight w:val="none"/>
        </w:rPr>
      </w:r>
      <w:r>
        <w:rPr>
          <w:color w:val="auto" w:themeColor="text1"/>
          <w:sz w:val="28"/>
          <w:szCs w:val="28"/>
          <w:highlight w:val="non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b/>
          <w:bCs/>
          <w:color w:val="auto"/>
          <w:sz w:val="20"/>
          <w:szCs w:val="20"/>
          <w:highlight w:val="none"/>
        </w:rPr>
      </w:pPr>
      <w:r>
        <w:rPr>
          <w:b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0"/>
          <w:szCs w:val="20"/>
          <w:highlight w:val="none"/>
        </w:rPr>
      </w:r>
      <w:r>
        <w:rPr>
          <w:b/>
          <w:bCs/>
          <w:color w:val="auto"/>
          <w:sz w:val="20"/>
          <w:szCs w:val="20"/>
          <w:highlight w:val="none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b/>
          <w:bCs/>
          <w:color w:val="ff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Прочие д</w:t>
      </w:r>
      <w:r>
        <w:rPr>
          <w:b/>
          <w:color w:val="000000" w:themeColor="text1"/>
          <w:sz w:val="28"/>
          <w:szCs w:val="28"/>
        </w:rPr>
        <w:t xml:space="preserve">оходы от использования имущества и</w:t>
      </w:r>
      <w:r>
        <w:rPr>
          <w:b/>
          <w:color w:val="000000" w:themeColor="text1"/>
          <w:sz w:val="28"/>
          <w:szCs w:val="28"/>
        </w:rPr>
        <w:t xml:space="preserve">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auto"/>
          <w:sz w:val="28"/>
          <w:szCs w:val="28"/>
        </w:rPr>
        <w:t xml:space="preserve">поступили в сумме 181 195,4 </w:t>
      </w:r>
      <w:r>
        <w:rPr>
          <w:color w:val="auto"/>
          <w:sz w:val="28"/>
          <w:szCs w:val="28"/>
        </w:rPr>
        <w:t xml:space="preserve">тыс. руб., что составляет 108,7 % к плану отчетного периода (</w:t>
      </w:r>
      <w:r>
        <w:rPr>
          <w:color w:val="auto"/>
          <w:sz w:val="28"/>
          <w:szCs w:val="28"/>
        </w:rPr>
        <w:t xml:space="preserve">166 692,8 </w:t>
      </w:r>
      <w:r>
        <w:rPr>
          <w:color w:val="auto"/>
          <w:sz w:val="28"/>
          <w:szCs w:val="28"/>
        </w:rPr>
        <w:t xml:space="preserve">тыс. руб.) и 98,1</w:t>
      </w:r>
      <w:r>
        <w:rPr>
          <w:color w:val="auto"/>
          <w:sz w:val="28"/>
          <w:szCs w:val="28"/>
        </w:rPr>
        <w:t xml:space="preserve"> % к плану года (184 622,0 тыс. руб.). Относительно аналогичного периода прошлого года поступления по данному виду дохода составили 110,5 </w:t>
      </w:r>
      <w:r>
        <w:rPr>
          <w:color w:val="auto"/>
          <w:sz w:val="28"/>
          <w:szCs w:val="28"/>
        </w:rPr>
        <w:t xml:space="preserve">%.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b/>
          <w:bCs/>
          <w:color w:val="ff0000" w:themeColor="text1"/>
          <w:sz w:val="28"/>
          <w:szCs w:val="28"/>
          <w:highlight w:val="none"/>
        </w:rPr>
      </w:r>
      <w:r>
        <w:rPr>
          <w:b/>
          <w:bCs/>
          <w:color w:val="ff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В том числе:</w:t>
      </w:r>
      <w:r>
        <w:rPr>
          <w:color w:val="ff0000" w:themeColor="text1"/>
          <w:sz w:val="28"/>
          <w:szCs w:val="28"/>
          <w:highlight w:val="none"/>
        </w:rPr>
      </w:r>
      <w:r>
        <w:rPr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none"/>
        </w:rPr>
        <w:t xml:space="preserve">оходы по договорам на размещение рекламных конструкций,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экономики и промышленной политики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поступили в сумме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101 916,9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тыс. руб., что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110,9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% к плану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91 925,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8 тыс. руб.)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99,6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% к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102 367,9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тыс. руб.).</w:t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0" w:leader="none"/>
          <w:tab w:val="left" w:pos="900" w:leader="none"/>
        </w:tabs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связано с поступлением в отчетном периоде обеспечительных платежей, планируемых к поступлению в декабре 2023 года,                           и платы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</w:rPr>
        <w:t xml:space="preserve">по договорам ранее запланированного срока</w:t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r>
    </w:p>
    <w:p>
      <w:pPr>
        <w:ind w:firstLine="709"/>
        <w:jc w:val="both"/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highlight w:val="white"/>
        </w:rPr>
        <w:t xml:space="preserve">оходы по договорам на размещение нестационарных объектов, 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white"/>
        </w:rPr>
        <w:t xml:space="preserve">администрируемые</w:t>
      </w: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highlight w:val="none"/>
        </w:rPr>
        <w:t xml:space="preserve"> департаментом экономики и промышленной политики,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поступили в сумме 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5 063,9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тыс. руб., что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1,2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раза превышает план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12 850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тыс. руб.) и составляет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112,5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% к плану года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13 384,8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тыс. руб.).</w:t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Перевыполнение плана по указанным доходам обусловлено поступлением авансовых платежей по договорам на размещение нестационарных торговых объектов, а также </w:t>
      </w:r>
      <w:r>
        <w:rPr>
          <w:color w:val="000000" w:themeColor="text1"/>
          <w:sz w:val="28"/>
          <w:szCs w:val="28"/>
        </w:rPr>
        <w:t xml:space="preserve">заключением дополнительных соглашений по продлению сроков действия договоров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color w:val="00b0f0" w:themeColor="text1"/>
          <w:sz w:val="20"/>
          <w:szCs w:val="20"/>
          <w:highlight w:val="yellow"/>
        </w:rPr>
      </w:pPr>
      <w:r>
        <w:rPr>
          <w:iCs/>
          <w:color w:val="000000" w:themeColor="text1"/>
          <w:sz w:val="28"/>
          <w:szCs w:val="28"/>
          <w:highlight w:val="yellow"/>
        </w:rPr>
      </w:r>
      <w:r>
        <w:rPr>
          <w:color w:val="00b0f0" w:themeColor="text1"/>
          <w:sz w:val="20"/>
          <w:szCs w:val="20"/>
          <w:highlight w:val="yellow"/>
        </w:rPr>
      </w:r>
      <w:r>
        <w:rPr>
          <w:color w:val="00b0f0" w:themeColor="text1"/>
          <w:sz w:val="20"/>
          <w:szCs w:val="20"/>
          <w:highlight w:val="yellow"/>
        </w:rPr>
      </w:r>
    </w:p>
    <w:p>
      <w:pPr>
        <w:ind w:firstLine="0"/>
        <w:spacing w:line="240" w:lineRule="auto"/>
        <w:tabs>
          <w:tab w:val="left" w:pos="0" w:leader="none"/>
          <w:tab w:val="left" w:pos="900" w:leader="none"/>
        </w:tabs>
        <w:rPr>
          <w:color w:val="00b0f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none"/>
        </w:rPr>
        <w:t xml:space="preserve">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color w:val="000000" w:themeColor="text1"/>
          <w:sz w:val="28"/>
          <w:szCs w:val="28"/>
          <w:highlight w:val="white"/>
        </w:rPr>
        <w:t xml:space="preserve">26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648,8 тыс. руб.,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что составляет 98,6 </w:t>
      </w:r>
      <w:r>
        <w:rPr>
          <w:color w:val="000000" w:themeColor="text1"/>
          <w:sz w:val="28"/>
          <w:szCs w:val="28"/>
          <w:highlight w:val="white"/>
        </w:rPr>
        <w:t xml:space="preserve">% от плана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(27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018,2               тыс. руб.)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97,8 % к плану года (27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254,3 тыс. руб.).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</w:t>
      </w:r>
      <w:r>
        <w:rPr>
          <w:color w:val="000000" w:themeColor="text1"/>
          <w:sz w:val="28"/>
          <w:szCs w:val="28"/>
          <w:highlight w:val="white"/>
        </w:rPr>
        <w:t xml:space="preserve">                       в</w:t>
      </w:r>
      <w:r>
        <w:rPr>
          <w:color w:val="000000" w:themeColor="text1"/>
          <w:sz w:val="28"/>
          <w:szCs w:val="28"/>
          <w:highlight w:val="white"/>
        </w:rPr>
        <w:t xml:space="preserve"> 2,5 раза.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b0f0" w:themeColor="text1"/>
          <w:sz w:val="28"/>
          <w:szCs w:val="28"/>
          <w:highlight w:val="white"/>
        </w:rPr>
      </w:r>
      <w:r>
        <w:rPr>
          <w:color w:val="00b0f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b0f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</w:t>
      </w:r>
      <w:r>
        <w:rPr>
          <w:color w:val="000000" w:themeColor="text1"/>
          <w:sz w:val="28"/>
          <w:szCs w:val="28"/>
          <w:highlight w:val="none"/>
        </w:rPr>
        <w:t xml:space="preserve">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828,7 тыс. руб., что составляет 94,1 %                   от плана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плана года (25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333,7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Невыполнение плана </w:t>
      </w:r>
      <w:r>
        <w:rPr>
          <w:color w:val="000000" w:themeColor="text1"/>
          <w:sz w:val="28"/>
          <w:szCs w:val="28"/>
          <w:highlight w:val="white"/>
        </w:rPr>
        <w:t xml:space="preserve">обусловлено произведенным возвратом неверно зачисленной суммы;</w:t>
      </w:r>
      <w:r>
        <w:rPr>
          <w:color w:val="00b0f0" w:themeColor="text1"/>
          <w:sz w:val="28"/>
          <w:szCs w:val="28"/>
          <w:highlight w:val="white"/>
        </w:rPr>
      </w:r>
      <w:r>
        <w:rPr>
          <w:color w:val="00b0f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, администрируемая управлением по экологии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820,1 тыс. руб., что в 1,7 раза превышает план отчетного периода (1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684,5 тыс. руб.) и составляет 146,8 %                      от план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а года (1 920,6 тыс. руб.).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связано с </w:t>
      </w:r>
      <w:r>
        <w:rPr>
          <w:color w:val="000000" w:themeColor="text1"/>
          <w:sz w:val="28"/>
          <w:szCs w:val="28"/>
          <w:highlight w:val="white"/>
        </w:rPr>
        <w:t xml:space="preserve">увеличением количества договоров аренды.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yellow"/>
        </w:rPr>
        <w:outlineLvl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316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013,9 тыс. руб., что составляет 104,1 % от плана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(303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519,6 тыс. руб.) и 100,6 % от уточненного плана года </w:t>
        <w:br/>
        <w:t xml:space="preserve">(314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</w:t>
      </w:r>
      <w:r>
        <w:rPr>
          <w:rFonts w:eastAsia="Calibri"/>
          <w:color w:val="auto"/>
          <w:sz w:val="28"/>
          <w:szCs w:val="28"/>
          <w:highlight w:val="white"/>
        </w:rPr>
        <w:t xml:space="preserve">8,0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142,3 %.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bCs/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auto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auto"/>
          <w:sz w:val="28"/>
          <w:szCs w:val="28"/>
          <w:highlight w:val="white"/>
        </w:rPr>
        <w:t xml:space="preserve">поступили доходы в сумме </w:t>
      </w:r>
      <w:r>
        <w:rPr>
          <w:color w:val="auto"/>
          <w:sz w:val="28"/>
          <w:szCs w:val="28"/>
          <w:highlight w:val="white"/>
        </w:rPr>
        <w:br/>
      </w:r>
      <w:r>
        <w:rPr>
          <w:color w:val="auto"/>
          <w:sz w:val="28"/>
          <w:szCs w:val="28"/>
          <w:highlight w:val="white"/>
        </w:rPr>
        <w:t xml:space="preserve">287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116,2 тыс. руб., что составляет 106,1 % от плана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(270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591,9 тыс. руб.) и 103,7 % от уточненного плана года (276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color w:val="auto"/>
          <w:sz w:val="28"/>
          <w:szCs w:val="28"/>
          <w:highlight w:val="white"/>
        </w:rPr>
        <w:t xml:space="preserve">773,3 тыс. руб.).</w:t>
      </w:r>
      <w:r>
        <w:rPr>
          <w:bCs/>
          <w:color w:val="auto"/>
          <w:sz w:val="28"/>
          <w:szCs w:val="28"/>
          <w:highlight w:val="white"/>
        </w:rPr>
        <w:t xml:space="preserve"> Перевыполнение плана отчетного периода обусловлено реализацией муниципального имущества по цене выше запланированной.</w:t>
      </w:r>
      <w:r>
        <w:rPr>
          <w:bCs/>
          <w:color w:val="auto"/>
          <w:sz w:val="28"/>
          <w:szCs w:val="28"/>
          <w:highlight w:val="white"/>
        </w:rPr>
      </w:r>
      <w:r>
        <w:rPr>
          <w:bCs/>
          <w:color w:val="auto"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bCs/>
          <w:color w:val="auto"/>
          <w:sz w:val="28"/>
          <w:szCs w:val="28"/>
          <w:highlight w:val="none"/>
        </w:rPr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28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897,7 тыс. руб., </w:t>
      </w:r>
      <w:r>
        <w:rPr>
          <w:color w:val="auto"/>
          <w:sz w:val="28"/>
          <w:szCs w:val="28"/>
          <w:highlight w:val="white"/>
        </w:rPr>
        <w:t xml:space="preserve">что составляет 90,9 % от плана о</w:t>
      </w:r>
      <w:r>
        <w:rPr>
          <w:color w:val="auto"/>
          <w:sz w:val="28"/>
          <w:szCs w:val="28"/>
          <w:highlight w:val="none"/>
        </w:rPr>
        <w:t xml:space="preserve">тчетного периода 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(31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777,5 тыс. руб.) и 80,7 % от плана года (35 830,9 тыс. руб.). 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Н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евыполнение плана отчетного периода связано с 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низкой платежной дисциплиной плател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ьщиков.</w:t>
      </w:r>
      <w:r>
        <w:rPr>
          <w:rFonts w:eastAsia="Calibri"/>
          <w:bCs/>
          <w:color w:val="auto"/>
          <w:sz w:val="28"/>
          <w:szCs w:val="28"/>
          <w:highlight w:val="none"/>
        </w:rPr>
      </w:r>
      <w:r>
        <w:rPr>
          <w:rFonts w:eastAsia="Calibri"/>
          <w:bCs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2"/>
          <w:szCs w:val="22"/>
          <w:highlight w:val="whit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2"/>
          <w:szCs w:val="22"/>
          <w:highlight w:val="none"/>
        </w:rPr>
        <w:t xml:space="preserve">                                                                 </w:t>
      </w:r>
      <w:r>
        <w:rPr>
          <w:color w:val="auto"/>
          <w:sz w:val="22"/>
          <w:szCs w:val="22"/>
          <w:highlight w:val="white"/>
        </w:rPr>
      </w:r>
      <w:r>
        <w:rPr>
          <w:color w:val="auto"/>
          <w:sz w:val="22"/>
          <w:szCs w:val="22"/>
          <w:highlight w:val="white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auto" w:themeColor="text1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white"/>
        </w:rPr>
        <w:t xml:space="preserve">Прочие неналоговые доходы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оступили в сумме</w:t>
      </w:r>
      <w:r>
        <w:rPr>
          <w:color w:val="auto"/>
          <w:sz w:val="28"/>
          <w:szCs w:val="28"/>
          <w:highlight w:val="white"/>
        </w:rPr>
        <w:t xml:space="preserve"> 177 175,8</w:t>
      </w:r>
      <w:r>
        <w:rPr>
          <w:color w:val="auto"/>
          <w:sz w:val="28"/>
          <w:szCs w:val="28"/>
          <w:highlight w:val="white"/>
        </w:rPr>
        <w:t xml:space="preserve"> тыс. руб., что составляет 131,5 % к плану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(134 742,2 тыс. руб.) и 121,0 % к плану года (146 377,0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74,2 %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 w:themeColor="text1"/>
          <w:sz w:val="28"/>
          <w:szCs w:val="28"/>
          <w:highlight w:val="none"/>
        </w:rPr>
      </w:r>
      <w:r>
        <w:rPr>
          <w:color w:val="auto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auto" w:themeColor="text1"/>
          <w:highlight w:val="white"/>
        </w:rPr>
      </w:r>
      <w:r>
        <w:rPr>
          <w:color w:val="auto" w:themeColor="text1"/>
          <w:highlight w:val="whit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highlight w:val="none"/>
        </w:rPr>
      </w:pPr>
      <w:r>
        <w:rPr>
          <w:b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администри-руемая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природопользованию, </w:t>
      </w:r>
      <w:r>
        <w:rPr>
          <w:rFonts w:eastAsia="Calibri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</w:t>
      </w:r>
      <w:r>
        <w:rPr>
          <w:rFonts w:eastAsia="Calibri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су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10 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920,9 тыс. руб., что в 1,2 раза превышает план отчетного периода (92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392,2                   тыс. руб.) и составляет 110,7 % от уточненного плана года (100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165,0 тыс. руб.). Перевыполнение плана связано с поступлениями от крупных предприятий в сфере ЖКХ и строительства.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0" w:firstLine="0"/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ИСПОЛНЕНИЕ БЮДЖЕТА ПО РАСХОДАМ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76" w:lineRule="auto"/>
        <w:rPr>
          <w:szCs w:val="28"/>
        </w:rPr>
      </w:pPr>
      <w:r>
        <w:rPr>
          <w:szCs w:val="28"/>
        </w:rPr>
        <w:t xml:space="preserve">(приложение 2 к пояснительной записке)</w:t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rPr>
          <w:sz w:val="16"/>
          <w:szCs w:val="20"/>
        </w:rPr>
      </w:pPr>
      <w:r>
        <w:rPr>
          <w:sz w:val="16"/>
          <w:szCs w:val="20"/>
        </w:rPr>
      </w:r>
      <w:r>
        <w:rPr>
          <w:sz w:val="16"/>
          <w:szCs w:val="20"/>
        </w:rPr>
      </w:r>
      <w:r>
        <w:rPr>
          <w:sz w:val="16"/>
          <w:szCs w:val="20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auto" w:themeColor="accent2"/>
          <w:sz w:val="28"/>
          <w:szCs w:val="28"/>
        </w:rPr>
      </w:pPr>
      <w:r>
        <w:rPr>
          <w:color w:val="auto"/>
          <w:sz w:val="28"/>
          <w:szCs w:val="28"/>
        </w:rPr>
        <w:t xml:space="preserve">Кассовый расход бюджета (без учёта зарезервированных средств:                                   на исполнение судебных исков, резервного фонда администрации города)                         на 1 декабря  2024 года составил </w:t>
      </w:r>
      <w:r>
        <w:rPr>
          <w:b/>
          <w:color w:val="auto"/>
          <w:sz w:val="28"/>
          <w:szCs w:val="28"/>
        </w:rPr>
        <w:t xml:space="preserve">48 144 616,5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</w:t>
      </w:r>
      <w:r>
        <w:rPr>
          <w:b/>
          <w:color w:val="auto"/>
          <w:sz w:val="28"/>
          <w:szCs w:val="28"/>
        </w:rPr>
        <w:t xml:space="preserve">5,7</w:t>
      </w:r>
      <w:r>
        <w:rPr>
          <w:b/>
          <w:color w:val="auto"/>
          <w:sz w:val="28"/>
          <w:szCs w:val="28"/>
        </w:rPr>
        <w:t xml:space="preserve"> 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 отчетного периода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50 296 718,9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.) и </w:t>
      </w:r>
      <w:r>
        <w:rPr>
          <w:b/>
          <w:color w:val="auto"/>
          <w:sz w:val="28"/>
          <w:szCs w:val="28"/>
        </w:rPr>
        <w:t xml:space="preserve">80,9 %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 годовых ассигнований (</w:t>
      </w:r>
      <w:r>
        <w:rPr>
          <w:color w:val="auto"/>
          <w:sz w:val="28"/>
          <w:szCs w:val="28"/>
        </w:rPr>
        <w:t xml:space="preserve">59 493 102,1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Исполнение по расходам за </w:t>
      </w:r>
      <w:r>
        <w:rPr>
          <w:color w:val="auto"/>
          <w:sz w:val="28"/>
          <w:szCs w:val="28"/>
        </w:rPr>
        <w:t xml:space="preserve">январь-ноябрь 2023 года составляло </w:t>
      </w:r>
      <w:r>
        <w:rPr>
          <w:color w:val="auto"/>
          <w:sz w:val="28"/>
          <w:szCs w:val="28"/>
        </w:rPr>
        <w:t xml:space="preserve">49 308 390,5 </w:t>
      </w:r>
      <w:r>
        <w:rPr>
          <w:color w:val="auto"/>
          <w:sz w:val="28"/>
          <w:szCs w:val="28"/>
        </w:rPr>
        <w:t xml:space="preserve">тыс.руб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97,1</w:t>
      </w:r>
      <w:r>
        <w:rPr>
          <w:b/>
          <w:color w:val="auto"/>
          <w:sz w:val="28"/>
          <w:szCs w:val="28"/>
        </w:rPr>
        <w:t xml:space="preserve"> % </w:t>
      </w:r>
      <w:r>
        <w:rPr>
          <w:color w:val="auto"/>
          <w:sz w:val="28"/>
          <w:szCs w:val="28"/>
        </w:rPr>
        <w:t xml:space="preserve">от кассового плана отчетного</w:t>
      </w:r>
      <w:r>
        <w:rPr>
          <w:color w:val="auto"/>
          <w:sz w:val="28"/>
          <w:szCs w:val="28"/>
        </w:rPr>
        <w:t xml:space="preserve"> периода 2023 года и </w:t>
      </w:r>
      <w:r>
        <w:rPr>
          <w:b/>
          <w:color w:val="auto"/>
          <w:sz w:val="28"/>
          <w:szCs w:val="28"/>
        </w:rPr>
        <w:t xml:space="preserve">83,0 %</w:t>
      </w:r>
      <w:r>
        <w:rPr>
          <w:color w:val="auto"/>
          <w:sz w:val="28"/>
          <w:szCs w:val="28"/>
        </w:rPr>
        <w:t xml:space="preserve"> от годовых ассигнований. </w:t>
      </w:r>
      <w:r>
        <w:rPr>
          <w:color w:val="auto" w:themeColor="accent2"/>
          <w:sz w:val="28"/>
          <w:szCs w:val="28"/>
        </w:rPr>
      </w:r>
      <w:r>
        <w:rPr>
          <w:color w:val="auto" w:themeColor="accent2"/>
          <w:sz w:val="28"/>
          <w:szCs w:val="28"/>
        </w:rPr>
      </w:r>
    </w:p>
    <w:p>
      <w:pPr>
        <w:spacing w:line="240" w:lineRule="auto"/>
        <w:rPr>
          <w:color w:val="auto"/>
        </w:rPr>
      </w:pPr>
      <w:r>
        <w:rPr>
          <w:color w:val="auto"/>
          <w:sz w:val="28"/>
          <w:szCs w:val="28"/>
        </w:rPr>
        <w:t xml:space="preserve">       </w:t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Расходная часть бюджета за январь-ноябрь 2024 года в разрезе источников финансирования исполнена следующим образом.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16"/>
          <w:szCs w:val="20"/>
        </w:rPr>
      </w:pPr>
      <w:r>
        <w:rPr>
          <w:color w:val="auto"/>
          <w:sz w:val="16"/>
          <w:szCs w:val="20"/>
        </w:rPr>
      </w:r>
      <w:r>
        <w:rPr>
          <w:color w:val="auto"/>
          <w:sz w:val="16"/>
          <w:szCs w:val="20"/>
        </w:rPr>
      </w:r>
      <w:r>
        <w:rPr>
          <w:color w:val="auto"/>
          <w:sz w:val="16"/>
          <w:szCs w:val="20"/>
        </w:rPr>
      </w:r>
    </w:p>
    <w:p>
      <w:pPr>
        <w:ind w:firstLine="709"/>
        <w:spacing w:line="240" w:lineRule="atLeast"/>
        <w:rPr>
          <w:b/>
          <w:bCs/>
          <w:color w:val="auto" w:themeColor="accent2"/>
          <w:sz w:val="20"/>
          <w:szCs w:val="20"/>
        </w:rPr>
      </w:pPr>
      <w:r>
        <w:rPr>
          <w:b/>
          <w:color w:val="auto"/>
          <w:sz w:val="28"/>
          <w:szCs w:val="28"/>
        </w:rPr>
        <w:t xml:space="preserve">2.1. за счет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auto"/>
          <w:sz w:val="28"/>
          <w:szCs w:val="28"/>
        </w:rPr>
        <w:t xml:space="preserve">- кассовое исполнение составляет </w:t>
      </w:r>
      <w:r>
        <w:rPr>
          <w:b/>
          <w:bCs/>
          <w:color w:val="auto"/>
          <w:sz w:val="28"/>
          <w:szCs w:val="28"/>
        </w:rPr>
        <w:t xml:space="preserve">26 535 802,9 </w:t>
      </w:r>
      <w:r>
        <w:rPr>
          <w:color w:val="auto"/>
          <w:sz w:val="28"/>
          <w:szCs w:val="28"/>
        </w:rPr>
        <w:t xml:space="preserve">тыс. руб., или </w:t>
      </w:r>
      <w:r>
        <w:rPr>
          <w:b/>
          <w:color w:val="auto"/>
          <w:sz w:val="28"/>
          <w:szCs w:val="28"/>
        </w:rPr>
        <w:t xml:space="preserve">93,8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отчетного периода –  </w:t>
      </w:r>
      <w:r>
        <w:rPr>
          <w:color w:val="auto"/>
          <w:sz w:val="28"/>
          <w:szCs w:val="28"/>
        </w:rPr>
        <w:t xml:space="preserve">28 301 200,1 </w:t>
      </w:r>
      <w:r>
        <w:rPr>
          <w:color w:val="auto"/>
          <w:sz w:val="28"/>
          <w:szCs w:val="28"/>
        </w:rPr>
        <w:t xml:space="preserve">тыс. </w:t>
      </w:r>
      <w:r>
        <w:rPr>
          <w:color w:val="auto"/>
          <w:sz w:val="28"/>
          <w:szCs w:val="28"/>
        </w:rPr>
        <w:t xml:space="preserve">руб. и </w:t>
      </w:r>
      <w:r>
        <w:rPr>
          <w:b/>
          <w:color w:val="auto"/>
          <w:sz w:val="28"/>
          <w:szCs w:val="28"/>
        </w:rPr>
        <w:t xml:space="preserve">78,4 %</w:t>
      </w:r>
      <w:r>
        <w:rPr>
          <w:color w:val="auto"/>
          <w:sz w:val="28"/>
          <w:szCs w:val="28"/>
        </w:rPr>
        <w:t xml:space="preserve"> от годовых ассиг</w:t>
      </w:r>
      <w:r>
        <w:rPr>
          <w:color w:val="auto"/>
          <w:sz w:val="28"/>
          <w:szCs w:val="28"/>
        </w:rPr>
        <w:t xml:space="preserve">нований. </w:t>
      </w:r>
      <w:r>
        <w:rPr>
          <w:color w:val="auto"/>
          <w:sz w:val="28"/>
          <w:szCs w:val="28"/>
        </w:rPr>
        <w:t xml:space="preserve">Исполнение расходов                      за январь-ноябрь 2023 года составляло </w:t>
      </w:r>
      <w:r>
        <w:rPr>
          <w:color w:val="auto"/>
          <w:sz w:val="28"/>
          <w:szCs w:val="28"/>
        </w:rPr>
        <w:t xml:space="preserve">25 473 390,4</w:t>
      </w:r>
      <w:r>
        <w:rPr>
          <w:color w:val="auto"/>
          <w:sz w:val="28"/>
          <w:szCs w:val="28"/>
        </w:rPr>
        <w:t xml:space="preserve">тыс. руб.,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95,6</w:t>
      </w:r>
      <w:r>
        <w:rPr>
          <w:b/>
          <w:color w:val="auto"/>
          <w:sz w:val="28"/>
          <w:szCs w:val="28"/>
        </w:rPr>
        <w:t xml:space="preserve"> 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 отчетного периода 2023 года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83,7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годовых</w:t>
      </w:r>
      <w:r>
        <w:rPr>
          <w:color w:val="auto"/>
          <w:sz w:val="28"/>
          <w:szCs w:val="28"/>
        </w:rPr>
        <w:t xml:space="preserve"> ассигнований. </w:t>
      </w:r>
      <w:r>
        <w:rPr>
          <w:color w:val="c0504d" w:themeColor="accent2"/>
          <w:sz w:val="28"/>
          <w:szCs w:val="28"/>
        </w:rPr>
        <w:t xml:space="preserve">     </w:t>
      </w:r>
      <w:r>
        <w:rPr>
          <w:b/>
          <w:bCs/>
          <w:color w:val="c0504d" w:themeColor="accent2"/>
          <w:sz w:val="20"/>
          <w:szCs w:val="20"/>
        </w:rPr>
        <w:t xml:space="preserve">       </w:t>
      </w:r>
      <w:r>
        <w:rPr>
          <w:b/>
          <w:bCs/>
          <w:color w:val="auto" w:themeColor="accent2"/>
          <w:sz w:val="20"/>
          <w:szCs w:val="20"/>
        </w:rPr>
      </w:r>
      <w:r>
        <w:rPr>
          <w:b/>
          <w:bCs/>
          <w:color w:val="auto" w:themeColor="accent2"/>
          <w:sz w:val="20"/>
          <w:szCs w:val="20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  </w:t>
      </w:r>
      <w:r>
        <w:rPr>
          <w:b/>
          <w:bCs/>
          <w:color w:val="auto"/>
          <w:sz w:val="16"/>
          <w:szCs w:val="20"/>
        </w:rPr>
        <w:t xml:space="preserve">  </w:t>
      </w:r>
      <w:bookmarkStart w:id="0" w:name="undefined"/>
      <w:r>
        <w:rPr>
          <w:color w:val="auto"/>
        </w:rPr>
      </w:r>
      <w:bookmarkEnd w:id="0"/>
      <w:r>
        <w:rPr>
          <w:b/>
          <w:bCs/>
          <w:color w:val="auto"/>
          <w:sz w:val="16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</w:r>
      <w:r>
        <w:rPr>
          <w:b/>
          <w:bCs/>
          <w:color w:val="auto"/>
          <w:sz w:val="20"/>
          <w:szCs w:val="20"/>
        </w:rPr>
      </w:r>
    </w:p>
    <w:p>
      <w:pPr>
        <w:ind w:firstLine="709"/>
        <w:spacing w:line="240" w:lineRule="atLeas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2.2. за счет средств, выделенных на исполнение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государственных полномочий, -</w:t>
      </w:r>
      <w:r>
        <w:rPr>
          <w:color w:val="auto"/>
          <w:sz w:val="28"/>
          <w:szCs w:val="28"/>
        </w:rPr>
        <w:t xml:space="preserve"> кассовое исполнение </w:t>
      </w:r>
      <w:r>
        <w:rPr>
          <w:color w:val="auto"/>
          <w:sz w:val="28"/>
          <w:szCs w:val="28"/>
        </w:rPr>
        <w:t xml:space="preserve">составляет </w:t>
      </w:r>
      <w:r>
        <w:rPr>
          <w:b/>
          <w:bCs/>
          <w:color w:val="auto"/>
          <w:sz w:val="28"/>
          <w:szCs w:val="28"/>
        </w:rPr>
        <w:t xml:space="preserve">13 377 867,6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99,7</w:t>
      </w:r>
      <w:r>
        <w:rPr>
          <w:b/>
          <w:color w:val="auto"/>
          <w:sz w:val="28"/>
          <w:szCs w:val="28"/>
        </w:rPr>
        <w:t xml:space="preserve"> %     </w:t>
      </w:r>
      <w:r>
        <w:rPr>
          <w:b/>
          <w:color w:val="auto"/>
          <w:sz w:val="28"/>
          <w:szCs w:val="28"/>
        </w:rPr>
        <w:t xml:space="preserve">                 </w:t>
      </w:r>
      <w:r>
        <w:rPr>
          <w:color w:val="auto"/>
          <w:sz w:val="28"/>
          <w:szCs w:val="28"/>
        </w:rPr>
        <w:t xml:space="preserve">от кассового плана отчетного периода – </w:t>
      </w:r>
      <w:r>
        <w:rPr>
          <w:color w:val="auto"/>
          <w:sz w:val="28"/>
          <w:szCs w:val="28"/>
        </w:rPr>
        <w:t xml:space="preserve">13 416 884,7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85,9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годовых</w:t>
      </w:r>
      <w:r>
        <w:rPr>
          <w:color w:val="auto"/>
          <w:sz w:val="28"/>
          <w:szCs w:val="28"/>
        </w:rPr>
        <w:t xml:space="preserve"> ассигнований. </w:t>
      </w:r>
      <w:r>
        <w:rPr>
          <w:color w:val="auto"/>
          <w:sz w:val="28"/>
          <w:szCs w:val="28"/>
        </w:rPr>
        <w:t xml:space="preserve">Исполнение расходов за январь-ноябрь 2023 года составляло                                       </w:t>
      </w:r>
      <w:r>
        <w:rPr>
          <w:color w:val="auto"/>
          <w:sz w:val="28"/>
          <w:szCs w:val="28"/>
        </w:rPr>
        <w:t xml:space="preserve">11 788 308,9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99,7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кассового плана отчетного периода 2023 года                        и </w:t>
      </w:r>
      <w:r>
        <w:rPr>
          <w:b/>
          <w:color w:val="auto"/>
          <w:sz w:val="28"/>
          <w:szCs w:val="28"/>
        </w:rPr>
        <w:t xml:space="preserve">85,9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годовых ассигнований.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ind w:firstLine="720"/>
        <w:spacing w:line="240" w:lineRule="atLeast"/>
        <w:rPr>
          <w:color w:val="000000" w:themeColor="text1"/>
          <w:sz w:val="28"/>
          <w:szCs w:val="28"/>
        </w:rPr>
      </w:pPr>
      <w:r>
        <w:rPr>
          <w:b/>
          <w:color w:val="auto"/>
          <w:sz w:val="28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auto"/>
          <w:sz w:val="28"/>
          <w:szCs w:val="28"/>
        </w:rPr>
        <w:t xml:space="preserve">кассовое исполнение </w:t>
      </w:r>
      <w:r>
        <w:rPr>
          <w:color w:val="auto"/>
          <w:sz w:val="28"/>
          <w:szCs w:val="28"/>
        </w:rPr>
        <w:t xml:space="preserve">составляет </w:t>
      </w:r>
      <w:r>
        <w:rPr>
          <w:b/>
          <w:bCs/>
          <w:color w:val="auto"/>
          <w:sz w:val="28"/>
          <w:szCs w:val="28"/>
        </w:rPr>
        <w:t xml:space="preserve">8 230 946,0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                       </w:t>
      </w:r>
      <w:r>
        <w:rPr>
          <w:color w:val="auto"/>
          <w:sz w:val="28"/>
          <w:szCs w:val="28"/>
        </w:rPr>
        <w:t xml:space="preserve">тыс.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95,9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отчетного периода – </w:t>
      </w:r>
      <w:r>
        <w:rPr>
          <w:color w:val="auto"/>
          <w:sz w:val="28"/>
          <w:szCs w:val="28"/>
        </w:rPr>
        <w:t xml:space="preserve">8 578 634,1 </w:t>
      </w:r>
      <w:r>
        <w:rPr>
          <w:color w:val="auto"/>
          <w:sz w:val="28"/>
          <w:szCs w:val="28"/>
        </w:rPr>
        <w:t xml:space="preserve">тыс. руб.                           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81,5 % </w:t>
      </w:r>
      <w:r>
        <w:rPr>
          <w:color w:val="auto"/>
          <w:sz w:val="28"/>
          <w:szCs w:val="28"/>
        </w:rPr>
        <w:t xml:space="preserve">от годовых</w:t>
      </w:r>
      <w:r>
        <w:rPr>
          <w:color w:val="auto"/>
          <w:sz w:val="28"/>
          <w:szCs w:val="28"/>
        </w:rPr>
        <w:t xml:space="preserve"> ассигнований. </w:t>
      </w:r>
      <w:r>
        <w:rPr>
          <w:color w:val="auto"/>
          <w:sz w:val="28"/>
          <w:szCs w:val="28"/>
        </w:rPr>
        <w:t xml:space="preserve">Исполнение расходов за январь-ноябрь 2023 год</w:t>
      </w:r>
      <w:r>
        <w:rPr>
          <w:color w:val="000000" w:themeColor="text1"/>
          <w:sz w:val="28"/>
          <w:szCs w:val="28"/>
        </w:rPr>
        <w:t xml:space="preserve">а составляло </w:t>
      </w:r>
      <w:r>
        <w:rPr>
          <w:color w:val="000000" w:themeColor="text1"/>
          <w:sz w:val="28"/>
          <w:szCs w:val="28"/>
        </w:rPr>
        <w:t xml:space="preserve">12 046 691,1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97,7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кассового</w:t>
      </w:r>
      <w:r>
        <w:rPr>
          <w:color w:val="000000" w:themeColor="text1"/>
          <w:sz w:val="28"/>
          <w:szCs w:val="28"/>
        </w:rPr>
        <w:t xml:space="preserve"> плана отчетного периода 2023 года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79,2 % </w:t>
      </w:r>
      <w:r>
        <w:rPr>
          <w:color w:val="000000" w:themeColor="text1"/>
          <w:sz w:val="28"/>
          <w:szCs w:val="28"/>
        </w:rPr>
        <w:t xml:space="preserve">от годовых ассигнований.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20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Расходная часть бюджета за январь-ноябрь 2024 года по источникам финансирования в разрезе главных распорядителей бюджетных средств исполнена следующим образо</w:t>
      </w:r>
      <w:r>
        <w:rPr>
          <w:color w:val="auto"/>
          <w:sz w:val="28"/>
          <w:szCs w:val="28"/>
        </w:rPr>
        <w:t xml:space="preserve">м.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2.1. Исполнение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16"/>
          <w:szCs w:val="16"/>
          <w:highlight w:val="none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12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администрацией города – на уровне 99,9 %;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3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комитетом по физической культуре и спорту – на уровне 99,8 %;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администрацией Орджоникидзевского района – на уровне 99,4 %;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 социальной политики – на уровне 99,1 %;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экономики и промышленной политики – на уровне 98,9 %;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6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ей Кировского района – на уровне 98,3 %;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градостроительства и архитектуры – на уровне 98,0 %;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культуры и молодежной политики – на уровне 97,6 %;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9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– на уровне 97,0 %;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96,6 %;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 дорог и благоустройства – на уровне 96,4 %;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финансов – на уровне 96,0 %;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п. Новые </w:t>
      </w:r>
      <w:r>
        <w:rPr>
          <w:color w:val="auto"/>
          <w:sz w:val="28"/>
          <w:szCs w:val="28"/>
        </w:rPr>
        <w:t xml:space="preserve">Ляды</w:t>
      </w:r>
      <w:r>
        <w:rPr>
          <w:color w:val="auto"/>
          <w:sz w:val="28"/>
          <w:szCs w:val="28"/>
        </w:rPr>
        <w:t xml:space="preserve"> – на уровне 95,9 %;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</w:t>
      </w:r>
      <w:r>
        <w:rPr>
          <w:color w:val="auto"/>
          <w:sz w:val="28"/>
          <w:szCs w:val="28"/>
        </w:rPr>
        <w:t xml:space="preserve">ым</w:t>
      </w:r>
      <w:r>
        <w:rPr>
          <w:color w:val="auto"/>
          <w:sz w:val="28"/>
          <w:szCs w:val="28"/>
        </w:rPr>
        <w:t xml:space="preserve"> департамент</w:t>
      </w:r>
      <w:r>
        <w:rPr>
          <w:color w:val="auto"/>
          <w:sz w:val="28"/>
          <w:szCs w:val="28"/>
        </w:rPr>
        <w:t xml:space="preserve">ом – на уровне 95,6 %;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left="360" w:firstLine="34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</w:rPr>
        <w:t xml:space="preserve">ниже уровня 95,0 %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бюджетных средств: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2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</w:t>
      </w:r>
      <w:r>
        <w:rPr>
          <w:color w:val="auto"/>
          <w:sz w:val="28"/>
          <w:szCs w:val="28"/>
        </w:rPr>
        <w:t xml:space="preserve">я</w:t>
      </w:r>
      <w:r>
        <w:rPr>
          <w:color w:val="auto"/>
          <w:sz w:val="28"/>
          <w:szCs w:val="28"/>
        </w:rPr>
        <w:t xml:space="preserve"> капитального строительства – на уровне 94,3 %;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контрольно</w:t>
      </w:r>
      <w:r>
        <w:rPr>
          <w:color w:val="auto"/>
          <w:sz w:val="28"/>
          <w:szCs w:val="28"/>
        </w:rPr>
        <w:t xml:space="preserve">–счетной палат</w:t>
      </w:r>
      <w:r>
        <w:rPr>
          <w:color w:val="auto"/>
          <w:sz w:val="28"/>
          <w:szCs w:val="28"/>
        </w:rPr>
        <w:t xml:space="preserve">ы</w:t>
      </w:r>
      <w:r>
        <w:rPr>
          <w:color w:val="auto"/>
          <w:sz w:val="28"/>
          <w:szCs w:val="28"/>
        </w:rPr>
        <w:t xml:space="preserve"> города – на уровне 92,5 %;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транспорта – на уровне 92,7 %;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Дзержинского района – на уровне 92,2 %;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3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жилищных отношений – на уровне 90,6 %;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департамента земельных отношений – на уровне  90,5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4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</w:rPr>
        <w:t xml:space="preserve">администрации Индустриального района – на уровне  87,7 %;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6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имущественных отношений – на уровне 85,3 %;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Мотовилихинского района – на уровне 84,7 %;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Свердловского района – на уровне 84,2 %;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7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Пермской городской Думы – на уровне 82,3 %;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Ленинского района – на уровне 78,0 %;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природопользованию – на уровне 77,2 %;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департамента жилищно-коммунального хозяйства – на уровне</w:t>
      </w:r>
      <w:r>
        <w:rPr>
          <w:color w:val="000000" w:themeColor="text1"/>
          <w:sz w:val="28"/>
          <w:szCs w:val="28"/>
        </w:rPr>
        <w:t xml:space="preserve"> 69,1 %.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left="360" w:firstLine="349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b/>
          <w:bCs/>
          <w:color w:val="000000" w:themeColor="text1"/>
          <w:sz w:val="16"/>
          <w:szCs w:val="16"/>
          <w:highlight w:val="none"/>
        </w:rPr>
        <w:suppressLineNumbers w:val="0"/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 образования – на уровне 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4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– на уровне  99,9 %;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департаментом социальной политики – на уровне  99,8 %;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записи актов гражданского состояния – на уровне 99,6 %;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администрацией Свердловского района – на уровне 98,2 %;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5"/>
        </w:numPr>
        <w:spacing w:line="240" w:lineRule="auto"/>
        <w:rPr>
          <w:b/>
          <w:color w:val="auto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 97,9 %;</w:t>
      </w:r>
      <w:r>
        <w:rPr>
          <w:b/>
          <w:color w:val="auto"/>
        </w:rPr>
      </w:r>
      <w:r>
        <w:rPr>
          <w:b/>
          <w:color w:val="auto"/>
        </w:rPr>
      </w:r>
    </w:p>
    <w:p>
      <w:pPr>
        <w:numPr>
          <w:ilvl w:val="0"/>
          <w:numId w:val="31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администрацией Орджоникидзевского района – на уровне 97,6 %;</w:t>
      </w:r>
      <w:r>
        <w:rPr>
          <w:color w:val="auto"/>
          <w:sz w:val="28"/>
        </w:rPr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29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дорог и благоустройства – на уровне 97,6 %;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контрольным департаментом – на уровне 96,8 %;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транспорта – на уровне 95,8 %;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color w:val="auto"/>
          <w:sz w:val="16"/>
          <w:szCs w:val="16"/>
        </w:rPr>
        <w:suppressLineNumbers w:val="0"/>
      </w:pPr>
      <w:r>
        <w:rPr>
          <w:b/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color w:val="auto"/>
          <w:sz w:val="28"/>
          <w:szCs w:val="28"/>
          <w:highlight w:val="none"/>
        </w:rPr>
        <w:suppressLineNumbers w:val="0"/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ниже 95,0 % </w:t>
      </w:r>
      <w:r>
        <w:rPr>
          <w:color w:val="auto"/>
          <w:sz w:val="28"/>
          <w:szCs w:val="28"/>
        </w:rPr>
        <w:t xml:space="preserve">сложилось исполнение у следующих глав</w:t>
      </w:r>
      <w:r>
        <w:rPr>
          <w:color w:val="auto"/>
          <w:sz w:val="28"/>
          <w:szCs w:val="28"/>
        </w:rPr>
        <w:t xml:space="preserve">ных распорядителей бюджетных средств:</w:t>
      </w:r>
      <w:r>
        <w:rPr>
          <w:b/>
          <w:color w:val="auto"/>
          <w:sz w:val="28"/>
        </w:rPr>
        <w:t xml:space="preserve">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numPr>
          <w:ilvl w:val="0"/>
          <w:numId w:val="28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управлени</w:t>
      </w:r>
      <w:r>
        <w:rPr>
          <w:color w:val="auto"/>
          <w:sz w:val="28"/>
          <w:szCs w:val="28"/>
        </w:rPr>
        <w:t xml:space="preserve">я</w:t>
      </w:r>
      <w:r>
        <w:rPr>
          <w:color w:val="auto"/>
          <w:sz w:val="28"/>
          <w:szCs w:val="28"/>
        </w:rPr>
        <w:t xml:space="preserve"> капитального строительства – на уровне 94,3 %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6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п. Новые </w:t>
      </w:r>
      <w:r>
        <w:rPr>
          <w:color w:val="auto"/>
          <w:sz w:val="28"/>
          <w:szCs w:val="28"/>
        </w:rPr>
        <w:t xml:space="preserve">Ляды</w:t>
      </w:r>
      <w:r>
        <w:rPr>
          <w:color w:val="auto"/>
          <w:sz w:val="28"/>
          <w:szCs w:val="28"/>
        </w:rPr>
        <w:t xml:space="preserve"> – на уровне 91,0 %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7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Мотовилихинского района – на уровне 90,8 %;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Индустриального района – на уровне 90,2 %;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9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и </w:t>
      </w:r>
      <w:r>
        <w:rPr>
          <w:color w:val="auto"/>
          <w:sz w:val="28"/>
          <w:szCs w:val="28"/>
        </w:rPr>
        <w:t xml:space="preserve">Дзержинского района – на уровне 90,1 %;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numPr>
          <w:ilvl w:val="0"/>
          <w:numId w:val="9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88,7 %;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9"/>
        </w:numPr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Ленинского района – на уровне 83,9 %</w:t>
      </w:r>
      <w:r>
        <w:rPr>
          <w:color w:val="auto"/>
          <w:sz w:val="28"/>
          <w:szCs w:val="28"/>
        </w:rPr>
        <w:t xml:space="preserve">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numPr>
          <w:ilvl w:val="0"/>
          <w:numId w:val="9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администрации Кировского района – на уровне 81,5 %;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9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</w:t>
      </w:r>
      <w:r>
        <w:rPr>
          <w:color w:val="000000" w:themeColor="text1"/>
          <w:sz w:val="28"/>
          <w:szCs w:val="28"/>
        </w:rPr>
        <w:t xml:space="preserve">правлени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по экологии и природопользованию – на уровне 73,1 %.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360" w:firstLine="349"/>
        <w:spacing w:line="240" w:lineRule="auto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  <w:t xml:space="preserve">2.3. Исполнение расходов по средствам, переданным из краевого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бюджета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на выпол</w:t>
      </w:r>
      <w:r>
        <w:rPr>
          <w:b/>
          <w:color w:val="000000" w:themeColor="text1"/>
          <w:sz w:val="28"/>
          <w:szCs w:val="28"/>
        </w:rPr>
        <w:t xml:space="preserve">нение полномочий городского округа: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left="360" w:firstLine="349"/>
        <w:spacing w:line="240" w:lineRule="auto"/>
        <w:rPr>
          <w:b/>
          <w:bCs/>
          <w:color w:val="000000" w:themeColor="text1"/>
          <w:sz w:val="16"/>
          <w:szCs w:val="16"/>
          <w:highlight w:val="none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none"/>
        </w:rPr>
      </w:r>
    </w:p>
    <w:p>
      <w:pPr>
        <w:ind w:left="360" w:firstLine="34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</w:rPr>
        <w:t xml:space="preserve">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40"/>
        </w:num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управлением записи актов гражданского состояния – на уровне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41"/>
        <w:numPr>
          <w:ilvl w:val="0"/>
          <w:numId w:val="10"/>
        </w:numPr>
        <w:ind w:left="357" w:hanging="357"/>
        <w:spacing w:after="0" w:line="240" w:lineRule="atLeast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администраци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ей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lang w:eastAsia="ru-RU"/>
        </w:rPr>
        <w:t xml:space="preserve"> Лени</w:t>
      </w:r>
      <w:r>
        <w:rPr>
          <w:rFonts w:ascii="Times New Roman" w:hAnsi="Times New Roman" w:eastAsia="Times New Roman"/>
          <w:color w:val="auto"/>
          <w:sz w:val="28"/>
          <w:szCs w:val="28"/>
          <w:lang w:eastAsia="ru-RU"/>
        </w:rPr>
        <w:t xml:space="preserve">нского района – на уровне</w:t>
      </w:r>
      <w:r>
        <w:rPr>
          <w:rFonts w:ascii="Times New Roman" w:hAnsi="Times New Roman" w:eastAsia="Times New Roman"/>
          <w:color w:val="auto"/>
          <w:sz w:val="28"/>
          <w:szCs w:val="28"/>
          <w:lang w:eastAsia="ru-RU"/>
        </w:rPr>
        <w:t xml:space="preserve"> 100,0 %;</w:t>
      </w:r>
      <w:r>
        <w:rPr>
          <w:rFonts w:ascii="Times New Roman" w:hAnsi="Times New Roman" w:eastAsia="Times New Roman"/>
          <w:color w:val="auto"/>
          <w:sz w:val="28"/>
          <w:szCs w:val="28"/>
        </w:rPr>
      </w:r>
      <w:r>
        <w:rPr>
          <w:rFonts w:ascii="Times New Roman" w:hAnsi="Times New Roman" w:eastAsia="Times New Roman"/>
          <w:color w:val="auto"/>
          <w:sz w:val="28"/>
          <w:szCs w:val="28"/>
        </w:rPr>
      </w:r>
    </w:p>
    <w:p>
      <w:pPr>
        <w:numPr>
          <w:ilvl w:val="0"/>
          <w:numId w:val="1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Мотовилихинского района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Индустриального района – на уровне 100,0 %;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numPr>
          <w:ilvl w:val="0"/>
          <w:numId w:val="1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Кировского района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Орджоникидзевского района – на уровне</w:t>
      </w:r>
      <w:r>
        <w:rPr>
          <w:color w:val="auto"/>
          <w:sz w:val="28"/>
          <w:szCs w:val="28"/>
        </w:rPr>
        <w:t xml:space="preserve">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транспорта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социальной политики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города – на уровне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земельных отношений – на уровне </w:t>
      </w:r>
      <w:r>
        <w:rPr>
          <w:color w:val="auto"/>
          <w:sz w:val="28"/>
          <w:szCs w:val="28"/>
        </w:rPr>
        <w:t xml:space="preserve">100,0 </w:t>
      </w:r>
      <w:r>
        <w:rPr>
          <w:color w:val="auto"/>
          <w:sz w:val="28"/>
          <w:szCs w:val="28"/>
        </w:rPr>
        <w:t xml:space="preserve">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 культуры и молодежной политики – на уровне 99,98 %;</w:t>
      </w:r>
      <w:r>
        <w:rPr>
          <w:color w:val="auto"/>
          <w:sz w:val="28"/>
          <w:szCs w:val="28"/>
        </w:rPr>
      </w:r>
      <w:r>
        <w:rPr>
          <w:color w:val="auto"/>
          <w:sz w:val="28"/>
        </w:rPr>
      </w:r>
    </w:p>
    <w:p>
      <w:pPr>
        <w:numPr>
          <w:ilvl w:val="0"/>
          <w:numId w:val="1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– на уровне 99,98 %;</w:t>
      </w:r>
      <w:r>
        <w:rPr>
          <w:color w:val="auto"/>
          <w:sz w:val="28"/>
        </w:rPr>
      </w:r>
      <w:r/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6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комитетом по физической культуре и спорту – на уровне 99,7 %;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 98,9 %;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4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Дзержинского района – на уровне </w:t>
      </w:r>
      <w:r>
        <w:rPr>
          <w:color w:val="auto"/>
          <w:sz w:val="28"/>
          <w:szCs w:val="28"/>
        </w:rPr>
        <w:t xml:space="preserve">98,4 %;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numPr>
          <w:ilvl w:val="0"/>
          <w:numId w:val="10"/>
        </w:numPr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97,8 %;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ей</w:t>
      </w:r>
      <w:r>
        <w:rPr>
          <w:color w:val="auto"/>
          <w:sz w:val="28"/>
          <w:szCs w:val="28"/>
        </w:rPr>
        <w:t xml:space="preserve"> Свердловского района – на уровне 96,2 %;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color w:val="auto"/>
          <w:sz w:val="16"/>
          <w:szCs w:val="16"/>
        </w:rPr>
        <w:suppressLineNumbers w:val="0"/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color w:val="auto"/>
          <w:sz w:val="28"/>
          <w:szCs w:val="28"/>
          <w:highlight w:val="none"/>
        </w:rPr>
        <w:suppressLineNumbers w:val="0"/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ниже 95,0 %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numPr>
          <w:ilvl w:val="0"/>
          <w:numId w:val="45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</w:rPr>
        <w:t xml:space="preserve">управления по экологии и природопользованию – на уровне 94,4 %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дорог и благоустройства – на уровне 94,3 %;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7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капитального строительства – на уровне </w:t>
      </w:r>
      <w:r>
        <w:rPr>
          <w:color w:val="auto"/>
          <w:sz w:val="28"/>
          <w:szCs w:val="28"/>
        </w:rPr>
        <w:t xml:space="preserve">92,8 %;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20,3 %.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firstLine="709"/>
        <w:spacing w:line="276" w:lineRule="auto"/>
        <w:tabs>
          <w:tab w:val="left" w:pos="709" w:leader="none"/>
        </w:tabs>
        <w:rPr>
          <w:color w:val="auto"/>
          <w:highlight w:val="white"/>
        </w:rPr>
      </w:pPr>
      <w:r>
        <w:rPr>
          <w:color w:val="auto"/>
          <w:highlight w:val="non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sectPr>
      <w:footnotePr/>
      <w:endnotePr/>
      <w:type w:val="nextPage"/>
      <w:pgSz w:w="11906" w:h="16838" w:orient="portrait"/>
      <w:pgMar w:top="851" w:right="850" w:bottom="567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Courier New">
    <w:panose1 w:val="02070309020205020404"/>
  </w:font>
  <w:font w:name="Liberation Serif">
    <w:panose1 w:val="02020603050405020304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NSimSun">
    <w:panose1 w:val="020006090300000000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2">
    <w:name w:val="Heading 1"/>
    <w:basedOn w:val="928"/>
    <w:next w:val="928"/>
    <w:link w:val="75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3">
    <w:name w:val="Heading 1 Char"/>
    <w:basedOn w:val="929"/>
    <w:link w:val="752"/>
    <w:uiPriority w:val="9"/>
    <w:rPr>
      <w:rFonts w:ascii="Arial" w:hAnsi="Arial" w:eastAsia="Arial" w:cs="Arial"/>
      <w:sz w:val="40"/>
      <w:szCs w:val="40"/>
    </w:rPr>
  </w:style>
  <w:style w:type="paragraph" w:styleId="754">
    <w:name w:val="Heading 2"/>
    <w:basedOn w:val="928"/>
    <w:next w:val="928"/>
    <w:link w:val="75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5">
    <w:name w:val="Heading 2 Char"/>
    <w:basedOn w:val="929"/>
    <w:link w:val="754"/>
    <w:uiPriority w:val="9"/>
    <w:rPr>
      <w:rFonts w:ascii="Arial" w:hAnsi="Arial" w:eastAsia="Arial" w:cs="Arial"/>
      <w:sz w:val="34"/>
    </w:rPr>
  </w:style>
  <w:style w:type="paragraph" w:styleId="756">
    <w:name w:val="Heading 3"/>
    <w:basedOn w:val="928"/>
    <w:next w:val="928"/>
    <w:link w:val="7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7">
    <w:name w:val="Heading 3 Char"/>
    <w:basedOn w:val="929"/>
    <w:link w:val="756"/>
    <w:uiPriority w:val="9"/>
    <w:rPr>
      <w:rFonts w:ascii="Arial" w:hAnsi="Arial" w:eastAsia="Arial" w:cs="Arial"/>
      <w:sz w:val="30"/>
      <w:szCs w:val="30"/>
    </w:rPr>
  </w:style>
  <w:style w:type="paragraph" w:styleId="758">
    <w:name w:val="Heading 4"/>
    <w:basedOn w:val="928"/>
    <w:next w:val="928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9">
    <w:name w:val="Heading 4 Char"/>
    <w:basedOn w:val="929"/>
    <w:link w:val="758"/>
    <w:uiPriority w:val="9"/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928"/>
    <w:next w:val="928"/>
    <w:link w:val="7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1">
    <w:name w:val="Heading 5 Char"/>
    <w:basedOn w:val="929"/>
    <w:link w:val="760"/>
    <w:uiPriority w:val="9"/>
    <w:rPr>
      <w:rFonts w:ascii="Arial" w:hAnsi="Arial" w:eastAsia="Arial" w:cs="Arial"/>
      <w:b/>
      <w:bCs/>
      <w:sz w:val="24"/>
      <w:szCs w:val="24"/>
    </w:rPr>
  </w:style>
  <w:style w:type="paragraph" w:styleId="762">
    <w:name w:val="Heading 6"/>
    <w:basedOn w:val="928"/>
    <w:next w:val="928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3">
    <w:name w:val="Heading 6 Char"/>
    <w:basedOn w:val="929"/>
    <w:link w:val="762"/>
    <w:uiPriority w:val="9"/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928"/>
    <w:next w:val="928"/>
    <w:link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5">
    <w:name w:val="Heading 7 Char"/>
    <w:basedOn w:val="929"/>
    <w:link w:val="7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928"/>
    <w:next w:val="928"/>
    <w:link w:val="7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8 Char"/>
    <w:basedOn w:val="929"/>
    <w:link w:val="766"/>
    <w:uiPriority w:val="9"/>
    <w:rPr>
      <w:rFonts w:ascii="Arial" w:hAnsi="Arial" w:eastAsia="Arial" w:cs="Arial"/>
      <w:i/>
      <w:iCs/>
      <w:sz w:val="22"/>
      <w:szCs w:val="22"/>
    </w:rPr>
  </w:style>
  <w:style w:type="paragraph" w:styleId="768">
    <w:name w:val="Heading 9"/>
    <w:basedOn w:val="928"/>
    <w:next w:val="928"/>
    <w:link w:val="7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9">
    <w:name w:val="Heading 9 Char"/>
    <w:basedOn w:val="929"/>
    <w:link w:val="768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before="0" w:after="0" w:line="240" w:lineRule="auto"/>
    </w:pPr>
  </w:style>
  <w:style w:type="paragraph" w:styleId="771">
    <w:name w:val="Title"/>
    <w:basedOn w:val="928"/>
    <w:next w:val="928"/>
    <w:link w:val="7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2">
    <w:name w:val="Title Char"/>
    <w:basedOn w:val="929"/>
    <w:link w:val="771"/>
    <w:uiPriority w:val="10"/>
    <w:rPr>
      <w:sz w:val="48"/>
      <w:szCs w:val="48"/>
    </w:rPr>
  </w:style>
  <w:style w:type="paragraph" w:styleId="773">
    <w:name w:val="Subtitle"/>
    <w:basedOn w:val="928"/>
    <w:next w:val="928"/>
    <w:link w:val="774"/>
    <w:uiPriority w:val="11"/>
    <w:qFormat/>
    <w:pPr>
      <w:spacing w:before="200" w:after="200"/>
    </w:pPr>
    <w:rPr>
      <w:sz w:val="24"/>
      <w:szCs w:val="24"/>
    </w:rPr>
  </w:style>
  <w:style w:type="character" w:styleId="774">
    <w:name w:val="Subtitle Char"/>
    <w:basedOn w:val="929"/>
    <w:link w:val="773"/>
    <w:uiPriority w:val="11"/>
    <w:rPr>
      <w:sz w:val="24"/>
      <w:szCs w:val="24"/>
    </w:rPr>
  </w:style>
  <w:style w:type="paragraph" w:styleId="775">
    <w:name w:val="Quote"/>
    <w:basedOn w:val="928"/>
    <w:next w:val="928"/>
    <w:link w:val="776"/>
    <w:uiPriority w:val="29"/>
    <w:qFormat/>
    <w:pPr>
      <w:ind w:left="720" w:right="720"/>
    </w:pPr>
    <w:rPr>
      <w:i/>
    </w:rPr>
  </w:style>
  <w:style w:type="character" w:styleId="776">
    <w:name w:val="Quote Char"/>
    <w:link w:val="775"/>
    <w:uiPriority w:val="29"/>
    <w:rPr>
      <w:i/>
    </w:rPr>
  </w:style>
  <w:style w:type="paragraph" w:styleId="777">
    <w:name w:val="Intense Quote"/>
    <w:basedOn w:val="928"/>
    <w:next w:val="928"/>
    <w:link w:val="7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>
    <w:name w:val="Intense Quote Char"/>
    <w:link w:val="777"/>
    <w:uiPriority w:val="30"/>
    <w:rPr>
      <w:i/>
    </w:rPr>
  </w:style>
  <w:style w:type="paragraph" w:styleId="779">
    <w:name w:val="Header"/>
    <w:basedOn w:val="928"/>
    <w:link w:val="7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0">
    <w:name w:val="Header Char"/>
    <w:basedOn w:val="929"/>
    <w:link w:val="779"/>
    <w:uiPriority w:val="99"/>
  </w:style>
  <w:style w:type="paragraph" w:styleId="781">
    <w:name w:val="Footer"/>
    <w:basedOn w:val="928"/>
    <w:link w:val="7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Footer Char"/>
    <w:basedOn w:val="929"/>
    <w:link w:val="781"/>
    <w:uiPriority w:val="99"/>
  </w:style>
  <w:style w:type="character" w:styleId="783">
    <w:name w:val="Caption Char"/>
    <w:basedOn w:val="936"/>
    <w:link w:val="781"/>
    <w:uiPriority w:val="99"/>
  </w:style>
  <w:style w:type="table" w:styleId="784">
    <w:name w:val="Table Grid"/>
    <w:basedOn w:val="9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Table Grid Light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0">
    <w:name w:val="Hyperlink"/>
    <w:uiPriority w:val="99"/>
    <w:unhideWhenUsed/>
    <w:rPr>
      <w:color w:val="0000ff" w:themeColor="hyperlink"/>
      <w:u w:val="single"/>
    </w:rPr>
  </w:style>
  <w:style w:type="paragraph" w:styleId="911">
    <w:name w:val="footnote text"/>
    <w:basedOn w:val="928"/>
    <w:link w:val="912"/>
    <w:uiPriority w:val="99"/>
    <w:semiHidden/>
    <w:unhideWhenUsed/>
    <w:pPr>
      <w:spacing w:after="40" w:line="240" w:lineRule="auto"/>
    </w:pPr>
    <w:rPr>
      <w:sz w:val="18"/>
    </w:rPr>
  </w:style>
  <w:style w:type="character" w:styleId="912">
    <w:name w:val="Footnote Text Char"/>
    <w:link w:val="911"/>
    <w:uiPriority w:val="99"/>
    <w:rPr>
      <w:sz w:val="18"/>
    </w:rPr>
  </w:style>
  <w:style w:type="character" w:styleId="913">
    <w:name w:val="footnote reference"/>
    <w:basedOn w:val="929"/>
    <w:uiPriority w:val="99"/>
    <w:unhideWhenUsed/>
    <w:rPr>
      <w:vertAlign w:val="superscript"/>
    </w:rPr>
  </w:style>
  <w:style w:type="paragraph" w:styleId="914">
    <w:name w:val="endnote text"/>
    <w:basedOn w:val="928"/>
    <w:link w:val="915"/>
    <w:uiPriority w:val="99"/>
    <w:semiHidden/>
    <w:unhideWhenUsed/>
    <w:pPr>
      <w:spacing w:after="0" w:line="240" w:lineRule="auto"/>
    </w:pPr>
    <w:rPr>
      <w:sz w:val="20"/>
    </w:rPr>
  </w:style>
  <w:style w:type="character" w:styleId="915">
    <w:name w:val="Endnote Text Char"/>
    <w:link w:val="914"/>
    <w:uiPriority w:val="99"/>
    <w:rPr>
      <w:sz w:val="20"/>
    </w:rPr>
  </w:style>
  <w:style w:type="character" w:styleId="916">
    <w:name w:val="endnote reference"/>
    <w:basedOn w:val="929"/>
    <w:uiPriority w:val="99"/>
    <w:semiHidden/>
    <w:unhideWhenUsed/>
    <w:rPr>
      <w:vertAlign w:val="superscript"/>
    </w:rPr>
  </w:style>
  <w:style w:type="paragraph" w:styleId="917">
    <w:name w:val="toc 1"/>
    <w:basedOn w:val="928"/>
    <w:next w:val="928"/>
    <w:uiPriority w:val="39"/>
    <w:unhideWhenUsed/>
    <w:pPr>
      <w:ind w:left="0" w:right="0" w:firstLine="0"/>
      <w:spacing w:after="57"/>
    </w:pPr>
  </w:style>
  <w:style w:type="paragraph" w:styleId="918">
    <w:name w:val="toc 2"/>
    <w:basedOn w:val="928"/>
    <w:next w:val="928"/>
    <w:uiPriority w:val="39"/>
    <w:unhideWhenUsed/>
    <w:pPr>
      <w:ind w:left="283" w:right="0" w:firstLine="0"/>
      <w:spacing w:after="57"/>
    </w:pPr>
  </w:style>
  <w:style w:type="paragraph" w:styleId="919">
    <w:name w:val="toc 3"/>
    <w:basedOn w:val="928"/>
    <w:next w:val="928"/>
    <w:uiPriority w:val="39"/>
    <w:unhideWhenUsed/>
    <w:pPr>
      <w:ind w:left="567" w:right="0" w:firstLine="0"/>
      <w:spacing w:after="57"/>
    </w:pPr>
  </w:style>
  <w:style w:type="paragraph" w:styleId="920">
    <w:name w:val="toc 4"/>
    <w:basedOn w:val="928"/>
    <w:next w:val="928"/>
    <w:uiPriority w:val="39"/>
    <w:unhideWhenUsed/>
    <w:pPr>
      <w:ind w:left="850" w:right="0" w:firstLine="0"/>
      <w:spacing w:after="57"/>
    </w:pPr>
  </w:style>
  <w:style w:type="paragraph" w:styleId="921">
    <w:name w:val="toc 5"/>
    <w:basedOn w:val="928"/>
    <w:next w:val="928"/>
    <w:uiPriority w:val="39"/>
    <w:unhideWhenUsed/>
    <w:pPr>
      <w:ind w:left="1134" w:right="0" w:firstLine="0"/>
      <w:spacing w:after="57"/>
    </w:pPr>
  </w:style>
  <w:style w:type="paragraph" w:styleId="922">
    <w:name w:val="toc 6"/>
    <w:basedOn w:val="928"/>
    <w:next w:val="928"/>
    <w:uiPriority w:val="39"/>
    <w:unhideWhenUsed/>
    <w:pPr>
      <w:ind w:left="1417" w:right="0" w:firstLine="0"/>
      <w:spacing w:after="57"/>
    </w:pPr>
  </w:style>
  <w:style w:type="paragraph" w:styleId="923">
    <w:name w:val="toc 7"/>
    <w:basedOn w:val="928"/>
    <w:next w:val="928"/>
    <w:uiPriority w:val="39"/>
    <w:unhideWhenUsed/>
    <w:pPr>
      <w:ind w:left="1701" w:right="0" w:firstLine="0"/>
      <w:spacing w:after="57"/>
    </w:pPr>
  </w:style>
  <w:style w:type="paragraph" w:styleId="924">
    <w:name w:val="toc 8"/>
    <w:basedOn w:val="928"/>
    <w:next w:val="928"/>
    <w:uiPriority w:val="39"/>
    <w:unhideWhenUsed/>
    <w:pPr>
      <w:ind w:left="1984" w:right="0" w:firstLine="0"/>
      <w:spacing w:after="57"/>
    </w:pPr>
  </w:style>
  <w:style w:type="paragraph" w:styleId="925">
    <w:name w:val="toc 9"/>
    <w:basedOn w:val="928"/>
    <w:next w:val="928"/>
    <w:uiPriority w:val="39"/>
    <w:unhideWhenUsed/>
    <w:pPr>
      <w:ind w:left="2268" w:right="0" w:firstLine="0"/>
      <w:spacing w:after="57"/>
    </w:pPr>
  </w:style>
  <w:style w:type="paragraph" w:styleId="926">
    <w:name w:val="TOC Heading"/>
    <w:uiPriority w:val="39"/>
    <w:unhideWhenUsed/>
  </w:style>
  <w:style w:type="paragraph" w:styleId="927">
    <w:name w:val="table of figures"/>
    <w:basedOn w:val="928"/>
    <w:next w:val="928"/>
    <w:uiPriority w:val="99"/>
    <w:unhideWhenUsed/>
    <w:pPr>
      <w:spacing w:after="0" w:afterAutospacing="0"/>
    </w:pPr>
  </w:style>
  <w:style w:type="paragraph" w:styleId="928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29" w:default="1">
    <w:name w:val="Default Paragraph Font"/>
    <w:uiPriority w:val="1"/>
    <w:semiHidden/>
    <w:unhideWhenUsed/>
  </w:style>
  <w:style w:type="table" w:styleId="9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1" w:default="1">
    <w:name w:val="No List"/>
    <w:uiPriority w:val="99"/>
    <w:semiHidden/>
    <w:unhideWhenUsed/>
  </w:style>
  <w:style w:type="character" w:styleId="932" w:customStyle="1">
    <w:name w:val="Текст выноски Знак"/>
    <w:basedOn w:val="929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933" w:customStyle="1">
    <w:name w:val="Заголовок"/>
    <w:basedOn w:val="928"/>
    <w:next w:val="934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934">
    <w:name w:val="Body Text"/>
    <w:basedOn w:val="928"/>
    <w:pPr>
      <w:spacing w:after="140" w:line="276" w:lineRule="auto"/>
    </w:pPr>
  </w:style>
  <w:style w:type="paragraph" w:styleId="935">
    <w:name w:val="List"/>
    <w:basedOn w:val="934"/>
    <w:rPr>
      <w:rFonts w:cs="Arial Unicode MS"/>
    </w:rPr>
  </w:style>
  <w:style w:type="paragraph" w:styleId="936">
    <w:name w:val="Caption"/>
    <w:basedOn w:val="928"/>
    <w:qFormat/>
    <w:pPr>
      <w:spacing w:before="120" w:after="120"/>
      <w:suppressLineNumbers/>
    </w:pPr>
    <w:rPr>
      <w:rFonts w:cs="Arial Unicode MS"/>
      <w:i/>
      <w:iCs/>
    </w:rPr>
  </w:style>
  <w:style w:type="paragraph" w:styleId="937">
    <w:name w:val="index heading"/>
    <w:basedOn w:val="928"/>
    <w:qFormat/>
    <w:pPr>
      <w:suppressLineNumbers/>
    </w:pPr>
    <w:rPr>
      <w:rFonts w:cs="Arial Unicode MS"/>
    </w:rPr>
  </w:style>
  <w:style w:type="paragraph" w:styleId="938">
    <w:name w:val="Balloon Text"/>
    <w:basedOn w:val="928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939" w:customStyle="1">
    <w:name w:val="Содержимое таблицы"/>
    <w:basedOn w:val="928"/>
    <w:qFormat/>
    <w:pPr>
      <w:suppressLineNumbers/>
    </w:pPr>
  </w:style>
  <w:style w:type="paragraph" w:styleId="940" w:customStyle="1">
    <w:name w:val="Standard"/>
    <w:rPr>
      <w:rFonts w:ascii="Liberation Serif" w:hAnsi="Liberation Serif" w:eastAsia="NSimSun" w:cs="Arial Unicode MS"/>
      <w:sz w:val="24"/>
      <w:szCs w:val="24"/>
      <w:lang w:eastAsia="zh-CN" w:bidi="hi-IN"/>
    </w:rPr>
  </w:style>
  <w:style w:type="paragraph" w:styleId="941">
    <w:name w:val="List Paragraph"/>
    <w:basedOn w:val="928"/>
    <w:uiPriority w:val="34"/>
    <w:qFormat/>
    <w:pPr>
      <w:contextualSpacing/>
      <w:ind w:left="720" w:right="-1"/>
      <w:jc w:val="left"/>
      <w:spacing w:line="240" w:lineRule="auto"/>
      <w:widowControl/>
    </w:pPr>
    <w:rPr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9CD3E-8ECB-4A17-8B14-4D031D1A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финансов администрации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Сибгатуллина Ольга Викторовна</dc:creator>
  <cp:keywords/>
  <dc:description/>
  <dc:language>ru-RU</dc:language>
  <cp:revision>85</cp:revision>
  <dcterms:created xsi:type="dcterms:W3CDTF">2024-08-07T04:26:00Z</dcterms:created>
  <dcterms:modified xsi:type="dcterms:W3CDTF">2024-12-11T13:41:56Z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Департамент финансов администрации г.Перми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