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uto"/>
        <w:rPr>
          <w:b/>
          <w:caps/>
          <w:sz w:val="20"/>
        </w:rPr>
      </w:pPr>
      <w:r>
        <w:rPr>
          <w:b/>
          <w:caps/>
          <w:sz w:val="20"/>
        </w:rPr>
      </w:r>
      <w:r>
        <w:rPr>
          <w:b/>
          <w:caps/>
          <w:sz w:val="20"/>
        </w:rPr>
      </w:r>
      <w:r>
        <w:rPr>
          <w:b/>
          <w:caps/>
          <w:sz w:val="20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города Перми за 2024 год 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jc w:val="center"/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  <w:r>
        <w:rPr>
          <w:b/>
          <w:caps/>
          <w:sz w:val="16"/>
          <w:szCs w:val="16"/>
        </w:rPr>
      </w:r>
      <w:r>
        <w:rPr>
          <w:b/>
          <w:caps/>
          <w:sz w:val="16"/>
          <w:szCs w:val="16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пояснительная записка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ind w:firstLine="567"/>
        <w:spacing w:line="240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города Перми за 2024 год по оперативным данным характеризуется следующими показателями: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240" w:lineRule="auto"/>
        <w:tabs>
          <w:tab w:val="left" w:pos="0" w:leader="none"/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сумме </w:t>
      </w:r>
      <w:r>
        <w:rPr>
          <w:b/>
          <w:bCs/>
          <w:sz w:val="28"/>
          <w:szCs w:val="28"/>
        </w:rPr>
        <w:t xml:space="preserve">59 887 691,5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107,8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утвержденного</w:t>
      </w:r>
      <w:r>
        <w:rPr>
          <w:sz w:val="28"/>
          <w:szCs w:val="28"/>
        </w:rPr>
        <w:t xml:space="preserve"> плана 2024 года (</w:t>
      </w:r>
      <w:r>
        <w:rPr>
          <w:sz w:val="28"/>
          <w:szCs w:val="28"/>
        </w:rPr>
        <w:t xml:space="preserve">55 565 266,1 </w:t>
      </w:r>
      <w:r>
        <w:rPr>
          <w:sz w:val="28"/>
          <w:szCs w:val="28"/>
        </w:rPr>
        <w:t xml:space="preserve">тыс. руб</w:t>
      </w:r>
      <w:r>
        <w:rPr>
          <w:sz w:val="28"/>
          <w:szCs w:val="28"/>
        </w:rPr>
        <w:t xml:space="preserve">.). Поступления доходов за 2023 год составляли                            </w:t>
      </w:r>
      <w:r>
        <w:rPr>
          <w:sz w:val="28"/>
          <w:szCs w:val="28"/>
        </w:rPr>
        <w:t xml:space="preserve">56 776 325,3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spacing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Анализ поступления доходов бюджета за 2023 и 2024 годы приведен в следующей таблице: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8508" w:firstLine="709"/>
        <w:spacing w:line="240" w:lineRule="auto"/>
      </w:pPr>
      <w:r>
        <w:t xml:space="preserve">(тыс.</w:t>
      </w:r>
      <w:r>
        <w:rPr>
          <w:lang w:val="en-US"/>
        </w:rPr>
        <w:t xml:space="preserve"> </w:t>
      </w:r>
      <w:r>
        <w:t xml:space="preserve">руб.)</w:t>
      </w:r>
      <w:r/>
    </w:p>
    <w:tbl>
      <w:tblPr>
        <w:tblW w:w="106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>
        <w:tblPrEx/>
        <w:trPr>
          <w:trHeight w:val="850"/>
        </w:trPr>
        <w:tc>
          <w:tcPr>
            <w:tcBorders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widowControl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Факт на 01.01.2024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01.01.2025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поступлений 2024 года от 2023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поступлений 2024 года к 2023 году,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27 580 301,3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33 491 112,9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5 910 811,6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121,4%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налоговые доходы*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20 440 243,2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25 599 024,9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5 158 781,7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125,2%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7 140 058,1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7 892 088,0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752 029,9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110,5%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29 196 024,0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26 396 578,6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-2 799 445,4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90,4%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Всего доходов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56 776 325,3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59 887 691,5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3 111 366,2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105,5%</w:t>
            </w:r>
            <w:r/>
          </w:p>
        </w:tc>
      </w:tr>
    </w:tbl>
    <w:p>
      <w:pPr>
        <w:ind w:left="426"/>
        <w:spacing w:line="240" w:lineRule="atLeast"/>
        <w:rPr>
          <w:sz w:val="18"/>
          <w:szCs w:val="16"/>
        </w:rPr>
      </w:pPr>
      <w:r>
        <w:rPr>
          <w:sz w:val="18"/>
          <w:szCs w:val="16"/>
        </w:rPr>
        <w:t xml:space="preserve">* в связи с изменениями с 2024 года норматива зачисления по налогу, взимаемому в связи с применением упрощенной системы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spacing w:line="240" w:lineRule="atLeast"/>
        <w:rPr>
          <w:sz w:val="18"/>
          <w:szCs w:val="16"/>
        </w:rPr>
      </w:pPr>
      <w:r>
        <w:rPr>
          <w:sz w:val="18"/>
          <w:szCs w:val="16"/>
        </w:rPr>
        <w:t xml:space="preserve">налогообложения (далее – УСН), объем доходов бюджета 2023 года приведен в сопоставимые условия (норматив по УСН – 10,0 %).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spacing w:line="240" w:lineRule="atLeast"/>
        <w:tabs>
          <w:tab w:val="left" w:pos="-180" w:leader="none"/>
        </w:tabs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ind w:firstLine="709"/>
        <w:keepLines/>
        <w:spacing w:line="240" w:lineRule="auto"/>
        <w:tabs>
          <w:tab w:val="left" w:pos="7938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расходам</w:t>
      </w:r>
      <w:r>
        <w:rPr>
          <w:sz w:val="28"/>
          <w:szCs w:val="28"/>
        </w:rPr>
        <w:t xml:space="preserve"> - в сумме </w:t>
      </w:r>
      <w:r>
        <w:rPr>
          <w:b/>
          <w:sz w:val="28"/>
          <w:szCs w:val="28"/>
        </w:rPr>
        <w:t xml:space="preserve">56 735 541,0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95,1 %</w:t>
      </w:r>
      <w:r>
        <w:rPr>
          <w:sz w:val="28"/>
          <w:szCs w:val="28"/>
        </w:rPr>
        <w:t xml:space="preserve"> от ассигнований 2024 года (59 683 638,6 тыс. руб.). К</w:t>
      </w:r>
      <w:r>
        <w:rPr>
          <w:bCs/>
          <w:sz w:val="28"/>
          <w:szCs w:val="28"/>
        </w:rPr>
        <w:t xml:space="preserve">ассовый расход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 составлял 56 907 456,6</w:t>
      </w:r>
      <w:r>
        <w:rPr>
          <w:color w:val="c00000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95,6 %</w:t>
      </w:r>
      <w:r>
        <w:rPr>
          <w:sz w:val="28"/>
          <w:szCs w:val="28"/>
        </w:rPr>
        <w:t xml:space="preserve"> от годовых ассигнований.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keepLines/>
        <w:spacing w:line="240" w:lineRule="atLeast"/>
        <w:tabs>
          <w:tab w:val="left" w:pos="7938" w:leader="none"/>
        </w:tabs>
        <w:rPr>
          <w:sz w:val="16"/>
          <w:szCs w:val="10"/>
        </w:rPr>
      </w:pPr>
      <w:r>
        <w:rPr>
          <w:sz w:val="16"/>
          <w:szCs w:val="10"/>
        </w:rPr>
      </w:r>
      <w:r>
        <w:rPr>
          <w:sz w:val="16"/>
          <w:szCs w:val="10"/>
        </w:rPr>
      </w:r>
      <w:r>
        <w:rPr>
          <w:sz w:val="16"/>
          <w:szCs w:val="10"/>
        </w:rPr>
      </w:r>
    </w:p>
    <w:p>
      <w:pPr>
        <w:ind w:firstLine="709"/>
        <w:keepLines/>
        <w:spacing w:line="240" w:lineRule="atLeast"/>
        <w:rPr>
          <w:b/>
          <w:color w:val="000000" w:themeColor="text1"/>
          <w:sz w:val="12"/>
          <w:szCs w:val="28"/>
        </w:rPr>
      </w:pPr>
      <w:r>
        <w:rPr>
          <w:sz w:val="28"/>
          <w:szCs w:val="28"/>
        </w:rPr>
        <w:t xml:space="preserve">Поступления доходов за 2024 год превысили выплаты по расходам на су</w:t>
      </w:r>
      <w:r>
        <w:rPr>
          <w:color w:val="000000" w:themeColor="text1"/>
          <w:sz w:val="28"/>
          <w:szCs w:val="28"/>
        </w:rPr>
        <w:t xml:space="preserve">мму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3 152 150,5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20"/>
        <w:spacing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на счете местного бюджета по состоянию на 01.01.2025 составил </w:t>
      </w:r>
      <w:r>
        <w:rPr>
          <w:sz w:val="28"/>
          <w:szCs w:val="28"/>
        </w:rPr>
        <w:t xml:space="preserve">3 987 402,3 тыс. руб. (в том числе: собственные средства – </w:t>
      </w:r>
      <w:r>
        <w:rPr>
          <w:sz w:val="28"/>
          <w:szCs w:val="28"/>
        </w:rPr>
        <w:t xml:space="preserve">3 749 139,6 тыс. руб., субсидии, субвенции и иные МБТ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238 262,7 </w:t>
      </w:r>
      <w:r>
        <w:rPr>
          <w:color w:val="000000" w:themeColor="text1"/>
          <w:sz w:val="28"/>
          <w:szCs w:val="28"/>
        </w:rPr>
        <w:t xml:space="preserve">тыс. р</w:t>
      </w:r>
      <w:r>
        <w:rPr>
          <w:sz w:val="28"/>
          <w:szCs w:val="28"/>
        </w:rPr>
        <w:t xml:space="preserve">уб.).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sz w:val="28"/>
          <w:szCs w:val="20"/>
        </w:rPr>
      </w:pPr>
      <w:r>
        <w:rPr>
          <w:szCs w:val="18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numPr>
          <w:ilvl w:val="0"/>
          <w:numId w:val="36"/>
        </w:numPr>
        <w:contextualSpacing/>
        <w:ind w:right="-1"/>
        <w:jc w:val="left"/>
        <w:spacing w:line="240" w:lineRule="auto"/>
        <w:widowControl/>
        <w:rPr>
          <w:rFonts w:eastAsia="Calibri"/>
          <w:b/>
          <w:caps/>
          <w:sz w:val="28"/>
          <w:szCs w:val="22"/>
        </w:rPr>
      </w:pPr>
      <w:r>
        <w:rPr>
          <w:rFonts w:eastAsia="Calibri"/>
          <w:b/>
          <w:caps/>
          <w:sz w:val="28"/>
          <w:szCs w:val="22"/>
          <w:lang w:eastAsia="en-US"/>
        </w:rPr>
        <w:t xml:space="preserve">ИСПОЛНЕНИЕ БЮДЖЕТА ПО ДОХОДАМ</w:t>
      </w:r>
      <w:r>
        <w:rPr>
          <w:rFonts w:eastAsia="Calibri"/>
          <w:b/>
          <w:caps/>
          <w:sz w:val="28"/>
          <w:szCs w:val="22"/>
        </w:rPr>
      </w:r>
      <w:r>
        <w:rPr>
          <w:rFonts w:eastAsia="Calibri"/>
          <w:b/>
          <w:caps/>
          <w:sz w:val="28"/>
          <w:szCs w:val="22"/>
        </w:rPr>
      </w:r>
    </w:p>
    <w:p>
      <w:pPr>
        <w:jc w:val="center"/>
        <w:spacing w:line="240" w:lineRule="auto"/>
        <w:rPr>
          <w:sz w:val="20"/>
          <w:szCs w:val="28"/>
        </w:rPr>
      </w:pPr>
      <w:r>
        <w:rPr>
          <w:szCs w:val="28"/>
        </w:rPr>
        <w:t xml:space="preserve">   (приложение 1 к пояснительной записке)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spacing w:line="240" w:lineRule="auto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Налоговые доходы</w:t>
      </w:r>
      <w:r>
        <w:rPr>
          <w:color w:val="auto"/>
          <w:sz w:val="28"/>
          <w:szCs w:val="28"/>
        </w:rPr>
        <w:t xml:space="preserve"> поступили в бюджет города в сумме </w:t>
      </w:r>
      <w:r>
        <w:rPr>
          <w:b/>
          <w:color w:val="auto"/>
          <w:sz w:val="28"/>
          <w:szCs w:val="28"/>
        </w:rPr>
        <w:t xml:space="preserve">25 599 024,9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руб.,              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103,8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утвержденного</w:t>
      </w:r>
      <w:r>
        <w:rPr>
          <w:color w:val="auto"/>
          <w:sz w:val="28"/>
          <w:szCs w:val="28"/>
        </w:rPr>
        <w:t xml:space="preserve"> плана 2024 года (</w:t>
      </w:r>
      <w:r>
        <w:rPr>
          <w:color w:val="auto"/>
          <w:sz w:val="28"/>
          <w:szCs w:val="28"/>
        </w:rPr>
        <w:t xml:space="preserve">24 659 439,2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руб.). За 2023 год поступления налоговых доходов составляли </w:t>
      </w:r>
      <w:r>
        <w:rPr>
          <w:color w:val="auto"/>
          <w:sz w:val="28"/>
          <w:szCs w:val="28"/>
        </w:rPr>
        <w:t xml:space="preserve">20 440 243,2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</w:t>
      </w:r>
      <w:r>
        <w:rPr>
          <w:color w:val="auto"/>
          <w:sz w:val="28"/>
          <w:szCs w:val="28"/>
        </w:rPr>
        <w:t xml:space="preserve">б., или </w:t>
      </w:r>
      <w:r>
        <w:rPr>
          <w:b/>
          <w:color w:val="auto"/>
          <w:sz w:val="28"/>
          <w:szCs w:val="28"/>
        </w:rPr>
        <w:t xml:space="preserve">103,2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          от утвержденного плана года.       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Неналоговые доходы</w:t>
      </w:r>
      <w:r>
        <w:rPr>
          <w:color w:val="auto"/>
          <w:sz w:val="28"/>
          <w:szCs w:val="28"/>
        </w:rPr>
        <w:t xml:space="preserve"> поступили в бюджет города в </w:t>
      </w:r>
      <w:r>
        <w:rPr>
          <w:color w:val="auto"/>
          <w:sz w:val="28"/>
          <w:szCs w:val="28"/>
        </w:rPr>
        <w:t xml:space="preserve">сумме </w:t>
      </w:r>
      <w:r>
        <w:rPr>
          <w:b/>
          <w:bCs/>
          <w:color w:val="auto"/>
          <w:sz w:val="28"/>
          <w:szCs w:val="28"/>
        </w:rPr>
        <w:t xml:space="preserve">7 892 088,0</w:t>
      </w:r>
      <w:r>
        <w:rPr>
          <w:color w:val="auto"/>
          <w:sz w:val="28"/>
          <w:szCs w:val="28"/>
        </w:rPr>
        <w:t xml:space="preserve"> тыс.</w:t>
      </w:r>
      <w:r>
        <w:rPr>
          <w:color w:val="auto"/>
          <w:sz w:val="28"/>
          <w:szCs w:val="28"/>
        </w:rPr>
        <w:t xml:space="preserve">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103,3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утвержденного</w:t>
      </w:r>
      <w:r>
        <w:rPr>
          <w:color w:val="auto"/>
          <w:sz w:val="28"/>
          <w:szCs w:val="28"/>
        </w:rPr>
        <w:t xml:space="preserve"> плана 2024 года (</w:t>
      </w:r>
      <w:r>
        <w:rPr>
          <w:color w:val="auto"/>
          <w:sz w:val="28"/>
          <w:szCs w:val="28"/>
        </w:rPr>
        <w:t xml:space="preserve">7 640 235,8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руб.). За 2023 год поступления неналоговых доходов составляли </w:t>
      </w:r>
      <w:r>
        <w:rPr>
          <w:color w:val="auto"/>
          <w:sz w:val="28"/>
          <w:szCs w:val="28"/>
        </w:rPr>
        <w:t xml:space="preserve">7 140 058,1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руб., или </w:t>
      </w:r>
      <w:r>
        <w:rPr>
          <w:b/>
          <w:color w:val="auto"/>
          <w:sz w:val="28"/>
          <w:szCs w:val="28"/>
        </w:rPr>
        <w:t xml:space="preserve">108,5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                          от утвержденного плана года.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Безвозмездные поступления</w:t>
      </w:r>
      <w:r>
        <w:rPr>
          <w:color w:val="auto"/>
          <w:sz w:val="28"/>
          <w:szCs w:val="28"/>
        </w:rPr>
        <w:t xml:space="preserve"> от бюджетов других уровней поступили в сумме            </w:t>
      </w:r>
      <w:r>
        <w:rPr>
          <w:b/>
          <w:bCs/>
          <w:color w:val="auto"/>
          <w:sz w:val="28"/>
          <w:szCs w:val="28"/>
        </w:rPr>
        <w:t xml:space="preserve">26 396 578,6</w:t>
      </w:r>
      <w:r>
        <w:rPr>
          <w:color w:val="auto"/>
          <w:sz w:val="28"/>
          <w:szCs w:val="28"/>
        </w:rPr>
        <w:t xml:space="preserve"> тыс. ру</w:t>
      </w:r>
      <w:r>
        <w:rPr>
          <w:color w:val="auto"/>
          <w:sz w:val="28"/>
          <w:szCs w:val="28"/>
        </w:rPr>
        <w:t xml:space="preserve">б., или </w:t>
      </w:r>
      <w:r>
        <w:rPr>
          <w:b/>
          <w:color w:val="auto"/>
          <w:sz w:val="28"/>
          <w:szCs w:val="28"/>
        </w:rPr>
        <w:t xml:space="preserve">113,5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утвержденного</w:t>
      </w:r>
      <w:r>
        <w:rPr>
          <w:color w:val="auto"/>
          <w:sz w:val="28"/>
          <w:szCs w:val="28"/>
        </w:rPr>
        <w:t xml:space="preserve"> плана 2024 года (</w:t>
      </w:r>
      <w:r>
        <w:rPr>
          <w:color w:val="auto"/>
          <w:sz w:val="28"/>
          <w:szCs w:val="28"/>
        </w:rPr>
        <w:t xml:space="preserve">23 265 591,1</w:t>
      </w:r>
      <w:r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тыс. руб.). За 2023 год поступления составляли </w:t>
      </w:r>
      <w:r>
        <w:rPr>
          <w:color w:val="auto"/>
          <w:sz w:val="28"/>
          <w:szCs w:val="28"/>
        </w:rPr>
        <w:t xml:space="preserve">29 196 024,0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109,1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                      от утвержденного плана года.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назначение, прошлых лет, отражаемая в доходах бюджета со знаком «минус», в общем </w:t>
      </w:r>
      <w:r>
        <w:rPr>
          <w:color w:val="auto"/>
          <w:sz w:val="28"/>
          <w:szCs w:val="28"/>
        </w:rPr>
        <w:t xml:space="preserve">объеме </w:t>
      </w:r>
      <w:r>
        <w:rPr>
          <w:color w:val="auto"/>
          <w:sz w:val="28"/>
          <w:szCs w:val="28"/>
        </w:rPr>
        <w:t xml:space="preserve">185 066,0</w:t>
      </w:r>
      <w:r>
        <w:rPr>
          <w:color w:val="auto"/>
          <w:sz w:val="28"/>
          <w:szCs w:val="28"/>
        </w:rPr>
        <w:t xml:space="preserve"> тыс. руб. За 2023</w:t>
      </w:r>
      <w:r>
        <w:rPr>
          <w:color w:val="auto"/>
          <w:sz w:val="28"/>
          <w:szCs w:val="28"/>
        </w:rPr>
        <w:t xml:space="preserve"> год сумма возврата составляла </w:t>
      </w:r>
      <w:r>
        <w:rPr>
          <w:color w:val="auto"/>
          <w:sz w:val="28"/>
          <w:szCs w:val="28"/>
        </w:rPr>
        <w:t xml:space="preserve">331 556,2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20"/>
        <w:spacing w:line="240" w:lineRule="auto"/>
        <w:tabs>
          <w:tab w:val="left" w:pos="1127" w:leader="none"/>
        </w:tabs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исполнения плана по доходам за 2024 год по основным </w:t>
      </w:r>
      <w:r>
        <w:rPr>
          <w:color w:val="auto"/>
          <w:sz w:val="28"/>
          <w:szCs w:val="28"/>
        </w:rPr>
        <w:t xml:space="preserve">бюджето</w:t>
      </w:r>
      <w:r>
        <w:rPr>
          <w:color w:val="auto"/>
          <w:sz w:val="28"/>
          <w:szCs w:val="28"/>
        </w:rPr>
        <w:t xml:space="preserve">-образующим поступлениям выглядит следующим образом: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</w:rPr>
        <w:t xml:space="preserve">Налог на доходы физических лиц </w:t>
      </w:r>
      <w:r>
        <w:rPr>
          <w:color w:val="auto"/>
          <w:sz w:val="28"/>
          <w:szCs w:val="28"/>
        </w:rPr>
        <w:t xml:space="preserve">поступил в сумме 19 952 333,2 тыс. руб., </w:t>
      </w:r>
      <w:r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что составляет 103,4 % к плану </w:t>
      </w:r>
      <w:r>
        <w:rPr>
          <w:color w:val="auto"/>
          <w:sz w:val="28"/>
          <w:szCs w:val="28"/>
          <w:highlight w:val="white"/>
        </w:rPr>
        <w:t xml:space="preserve">года (19 291 111,4 тыс. руб.). </w:t>
      </w:r>
      <w:r>
        <w:rPr>
          <w:color w:val="auto"/>
          <w:sz w:val="28"/>
          <w:szCs w:val="28"/>
        </w:rPr>
        <w:t xml:space="preserve">Относительно 2023 года поступления налога составили 125,7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i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Согласно итогам социально-экономического развития города Перми, рост среднемесячной заработной платы работников крупных и средних предприятий города за январь - октябрь 2024 года относительно аналогичного периода прошлого года составил 118,9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За 11 месяцев 2024 года сумма возвратов по налогу в связи с предоставлением социальных, имущественных и других вычетов физическим лицам составила </w:t>
      </w:r>
      <w:r>
        <w:rPr>
          <w:color w:val="auto"/>
          <w:sz w:val="28"/>
          <w:szCs w:val="28"/>
          <w:highlight w:val="white"/>
        </w:rPr>
        <w:br/>
        <w:t xml:space="preserve">1 394 246,8 тыс. руб., что на 255 052,1 тыс. руб.</w:t>
      </w:r>
      <w:r>
        <w:rPr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или на 15,5 % меньше относительно аналогичного периода прошлого года.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b/>
          <w:iCs/>
          <w:color w:val="auto"/>
          <w:sz w:val="16"/>
          <w:szCs w:val="28"/>
          <w:highlight w:val="white"/>
        </w:rPr>
      </w:pPr>
      <w:r>
        <w:rPr>
          <w:b/>
          <w:iCs/>
          <w:color w:val="auto"/>
          <w:sz w:val="16"/>
          <w:szCs w:val="28"/>
          <w:highlight w:val="white"/>
        </w:rPr>
      </w:r>
      <w:r>
        <w:rPr>
          <w:b/>
          <w:iCs/>
          <w:color w:val="auto"/>
          <w:sz w:val="16"/>
          <w:szCs w:val="28"/>
          <w:highlight w:val="white"/>
        </w:rPr>
      </w:r>
      <w:r>
        <w:rPr>
          <w:b/>
          <w:iCs/>
          <w:color w:val="auto"/>
          <w:sz w:val="16"/>
          <w:szCs w:val="28"/>
          <w:highlight w:val="white"/>
        </w:rPr>
      </w:r>
    </w:p>
    <w:p>
      <w:pPr>
        <w:ind w:firstLine="709"/>
        <w:spacing w:line="240" w:lineRule="atLeast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По</w:t>
      </w:r>
      <w:r>
        <w:rPr>
          <w:b/>
          <w:iCs/>
          <w:color w:val="auto"/>
          <w:sz w:val="28"/>
          <w:szCs w:val="28"/>
          <w:highlight w:val="white"/>
        </w:rPr>
        <w:t xml:space="preserve"> налогу, взимаемому в связи с применением упрощенной системы налогообложения, </w:t>
      </w:r>
      <w:r>
        <w:rPr>
          <w:color w:val="auto"/>
          <w:sz w:val="28"/>
          <w:szCs w:val="28"/>
        </w:rPr>
        <w:t xml:space="preserve">фактические поступления сложились</w:t>
      </w:r>
      <w:r>
        <w:rPr>
          <w:iCs/>
          <w:color w:val="auto"/>
          <w:sz w:val="28"/>
          <w:szCs w:val="28"/>
        </w:rPr>
        <w:t xml:space="preserve"> в сумме</w:t>
      </w:r>
      <w:r>
        <w:rPr>
          <w:iCs/>
          <w:color w:val="auto"/>
          <w:sz w:val="28"/>
          <w:szCs w:val="28"/>
          <w:highlight w:val="white"/>
        </w:rPr>
        <w:t xml:space="preserve"> 1 144 013,9 тыс. руб., что составляет 106,3 % к плану года (1 075 733,5 тыс. руб.).</w:t>
      </w:r>
      <w:r>
        <w:rPr>
          <w:color w:val="auto"/>
          <w:sz w:val="28"/>
          <w:szCs w:val="28"/>
          <w:highlight w:val="white"/>
        </w:rPr>
        <w:t xml:space="preserve"> Относительно прошлого года поступления составили 133,7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highlight w:val="white"/>
        </w:rPr>
        <w:t xml:space="preserve">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color w:val="auto"/>
          <w:sz w:val="16"/>
          <w:szCs w:val="28"/>
          <w:highlight w:val="white"/>
        </w:rPr>
      </w:pPr>
      <w:r>
        <w:rPr>
          <w:color w:val="auto"/>
          <w:sz w:val="16"/>
          <w:szCs w:val="28"/>
          <w:highlight w:val="white"/>
        </w:rPr>
      </w:r>
      <w:r>
        <w:rPr>
          <w:color w:val="auto"/>
          <w:sz w:val="16"/>
          <w:szCs w:val="28"/>
          <w:highlight w:val="white"/>
        </w:rPr>
      </w:r>
      <w:r>
        <w:rPr>
          <w:color w:val="auto"/>
          <w:sz w:val="16"/>
          <w:szCs w:val="28"/>
          <w:highlight w:val="white"/>
        </w:rPr>
      </w:r>
    </w:p>
    <w:p>
      <w:pPr>
        <w:ind w:firstLine="709"/>
        <w:spacing w:line="240" w:lineRule="atLeast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По </w:t>
      </w:r>
      <w:r>
        <w:rPr>
          <w:b/>
          <w:iCs/>
          <w:color w:val="auto"/>
          <w:sz w:val="28"/>
          <w:szCs w:val="28"/>
          <w:highlight w:val="white"/>
        </w:rPr>
        <w:t xml:space="preserve">единому налогу на вмененный доход для отдельных видов деятельности</w:t>
      </w:r>
      <w:r>
        <w:rPr>
          <w:iCs/>
          <w:color w:val="auto"/>
          <w:sz w:val="28"/>
          <w:szCs w:val="28"/>
          <w:highlight w:val="white"/>
        </w:rPr>
        <w:t xml:space="preserve"> поступили платежи в счет погашения задолженности в сумме 558,5 тыс. руб.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iCs/>
          <w:color w:val="auto"/>
          <w:sz w:val="16"/>
          <w:szCs w:val="28"/>
          <w:highlight w:val="white"/>
        </w:rPr>
      </w:pPr>
      <w:r>
        <w:rPr>
          <w:iCs/>
          <w:color w:val="auto"/>
          <w:sz w:val="16"/>
          <w:szCs w:val="28"/>
          <w:highlight w:val="white"/>
        </w:rPr>
      </w:r>
      <w:r>
        <w:rPr>
          <w:iCs/>
          <w:color w:val="auto"/>
          <w:sz w:val="16"/>
          <w:szCs w:val="28"/>
          <w:highlight w:val="white"/>
        </w:rPr>
      </w:r>
      <w:r>
        <w:rPr>
          <w:iCs/>
          <w:color w:val="auto"/>
          <w:sz w:val="16"/>
          <w:szCs w:val="28"/>
          <w:highlight w:val="white"/>
        </w:rPr>
      </w:r>
    </w:p>
    <w:p>
      <w:pPr>
        <w:ind w:firstLine="709"/>
        <w:spacing w:line="240" w:lineRule="atLeast"/>
        <w:rPr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Н</w:t>
      </w:r>
      <w:r>
        <w:rPr>
          <w:b/>
          <w:iCs/>
          <w:color w:val="auto"/>
          <w:sz w:val="28"/>
          <w:szCs w:val="28"/>
          <w:highlight w:val="white"/>
        </w:rPr>
        <w:t xml:space="preserve">алог, взимаемый в связи с применением патентной системы </w:t>
      </w:r>
      <w:r>
        <w:rPr>
          <w:b/>
          <w:iCs/>
          <w:color w:val="auto"/>
          <w:sz w:val="28"/>
          <w:szCs w:val="28"/>
          <w:highlight w:val="white"/>
        </w:rPr>
        <w:t xml:space="preserve">налогообло</w:t>
      </w:r>
      <w:r>
        <w:rPr>
          <w:b/>
          <w:iCs/>
          <w:color w:val="auto"/>
          <w:sz w:val="28"/>
          <w:szCs w:val="28"/>
          <w:highlight w:val="white"/>
        </w:rPr>
        <w:t xml:space="preserve">-</w:t>
      </w:r>
      <w:r>
        <w:rPr>
          <w:b/>
          <w:iCs/>
          <w:color w:val="auto"/>
          <w:sz w:val="28"/>
          <w:szCs w:val="28"/>
          <w:highlight w:val="white"/>
        </w:rPr>
        <w:t xml:space="preserve">жения</w:t>
      </w:r>
      <w:r>
        <w:rPr>
          <w:b/>
          <w:iCs/>
          <w:color w:val="auto"/>
          <w:sz w:val="28"/>
          <w:szCs w:val="28"/>
          <w:highlight w:val="white"/>
        </w:rPr>
        <w:t xml:space="preserve">,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</w:rPr>
        <w:t xml:space="preserve">поступил в сумме</w:t>
      </w:r>
      <w:r>
        <w:rPr>
          <w:iCs/>
          <w:color w:val="auto"/>
          <w:sz w:val="28"/>
          <w:szCs w:val="28"/>
          <w:highlight w:val="white"/>
        </w:rPr>
        <w:t xml:space="preserve"> 319 157,0 тыс. руб., </w:t>
      </w:r>
      <w:r>
        <w:rPr>
          <w:iCs/>
          <w:color w:val="auto"/>
          <w:sz w:val="28"/>
          <w:szCs w:val="28"/>
        </w:rPr>
        <w:t xml:space="preserve">что составляет</w:t>
      </w:r>
      <w:r>
        <w:rPr>
          <w:iCs/>
          <w:color w:val="auto"/>
          <w:sz w:val="28"/>
          <w:szCs w:val="28"/>
          <w:highlight w:val="white"/>
        </w:rPr>
        <w:t xml:space="preserve"> 89,9 % к плану года (354 934,4 тыс. руб.).</w:t>
      </w:r>
      <w:r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  <w:t xml:space="preserve">Относительно 2023 года поступления по налогу составили 338,1</w:t>
      </w:r>
      <w:r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%.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highlight w:val="white"/>
        </w:rPr>
        <w:t xml:space="preserve">Неисполнение плана года обусловлено ростом количества налогоплательщиков, воспользовавшихся правом уменьшения налога на сумму уплаченных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страховых взносов. 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color w:val="002060"/>
          <w:sz w:val="16"/>
          <w:szCs w:val="28"/>
          <w:highlight w:val="white"/>
        </w:rPr>
      </w:pPr>
      <w:r>
        <w:rPr>
          <w:color w:val="002060"/>
          <w:sz w:val="16"/>
          <w:szCs w:val="28"/>
          <w:highlight w:val="white"/>
        </w:rPr>
      </w:r>
      <w:r>
        <w:rPr>
          <w:color w:val="002060"/>
          <w:sz w:val="16"/>
          <w:szCs w:val="28"/>
          <w:highlight w:val="white"/>
        </w:rPr>
      </w:r>
      <w:r>
        <w:rPr>
          <w:color w:val="002060"/>
          <w:sz w:val="16"/>
          <w:szCs w:val="28"/>
          <w:highlight w:val="white"/>
        </w:rPr>
      </w:r>
    </w:p>
    <w:p>
      <w:pPr>
        <w:ind w:firstLine="708"/>
        <w:spacing w:line="240" w:lineRule="atLeast"/>
        <w:rPr>
          <w:iCs/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Налог на имущество физических лиц </w:t>
      </w:r>
      <w:r>
        <w:rPr>
          <w:iCs/>
          <w:color w:val="auto"/>
          <w:sz w:val="28"/>
          <w:szCs w:val="28"/>
          <w:highlight w:val="white"/>
        </w:rPr>
        <w:t xml:space="preserve">поступил в сумме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1 374 654,7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тыс. руб., что составляет 109,9 % к плану года (1 250 550,2 тыс. руб.).</w:t>
      </w:r>
      <w:r>
        <w:rPr>
          <w:color w:val="auto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Поступили платежи в счет уплаты налога за 2023 год по сроку уплаты 1 декабря. Относительно прошлого года поступление налога увеличилось на 14,7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%.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spacing w:line="240" w:lineRule="atLeast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01.12.2024 снизилась на </w:t>
      </w:r>
      <w:r>
        <w:rPr>
          <w:color w:val="auto"/>
          <w:sz w:val="28"/>
          <w:szCs w:val="28"/>
          <w:highlight w:val="white"/>
        </w:rPr>
        <w:t xml:space="preserve">149 295,1 </w:t>
      </w:r>
      <w:r>
        <w:rPr>
          <w:color w:val="auto"/>
          <w:sz w:val="28"/>
          <w:szCs w:val="28"/>
          <w:highlight w:val="white"/>
        </w:rPr>
        <w:t xml:space="preserve">     </w:t>
      </w:r>
      <w:r>
        <w:rPr>
          <w:iCs/>
          <w:color w:val="auto"/>
          <w:sz w:val="28"/>
          <w:szCs w:val="28"/>
          <w:highlight w:val="white"/>
        </w:rPr>
        <w:t xml:space="preserve">тыс. руб. и составила </w:t>
      </w:r>
      <w:r>
        <w:rPr>
          <w:color w:val="auto"/>
          <w:sz w:val="28"/>
          <w:szCs w:val="28"/>
          <w:highlight w:val="white"/>
        </w:rPr>
        <w:t xml:space="preserve">106 567,8</w:t>
      </w:r>
      <w:r>
        <w:rPr>
          <w:iCs/>
          <w:color w:val="auto"/>
          <w:sz w:val="28"/>
          <w:szCs w:val="28"/>
          <w:highlight w:val="white"/>
        </w:rPr>
        <w:t xml:space="preserve"> тыс. руб. 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b/>
          <w:color w:val="auto"/>
          <w:sz w:val="16"/>
          <w:szCs w:val="28"/>
          <w:highlight w:val="white"/>
        </w:rPr>
      </w:pPr>
      <w:r>
        <w:rPr>
          <w:b/>
          <w:color w:val="auto"/>
          <w:sz w:val="16"/>
          <w:szCs w:val="28"/>
          <w:highlight w:val="white"/>
        </w:rPr>
      </w:r>
      <w:r>
        <w:rPr>
          <w:b/>
          <w:color w:val="auto"/>
          <w:sz w:val="16"/>
          <w:szCs w:val="28"/>
          <w:highlight w:val="white"/>
        </w:rPr>
      </w:r>
      <w:r>
        <w:rPr>
          <w:b/>
          <w:color w:val="auto"/>
          <w:sz w:val="16"/>
          <w:szCs w:val="28"/>
          <w:highlight w:val="white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Земельный налог</w:t>
      </w:r>
      <w:r>
        <w:rPr>
          <w:color w:val="auto"/>
          <w:sz w:val="28"/>
          <w:szCs w:val="28"/>
          <w:highlight w:val="white"/>
        </w:rPr>
        <w:t xml:space="preserve"> поступил в сумме 2 352 748,7 тыс. руб.</w:t>
      </w:r>
      <w:r>
        <w:rPr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или </w:t>
      </w:r>
      <w:r>
        <w:rPr>
          <w:iCs/>
          <w:color w:val="auto"/>
          <w:sz w:val="28"/>
          <w:szCs w:val="28"/>
          <w:highlight w:val="white"/>
        </w:rPr>
        <w:t xml:space="preserve">98,7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% к плану года (2 382 735,3 тыс. руб.). </w:t>
      </w:r>
      <w:r>
        <w:rPr>
          <w:color w:val="auto"/>
          <w:sz w:val="28"/>
          <w:szCs w:val="28"/>
          <w:highlight w:val="white"/>
        </w:rPr>
        <w:t xml:space="preserve">Относительно прошлого года поступление составило </w:t>
      </w:r>
      <w:r>
        <w:rPr>
          <w:color w:val="auto"/>
          <w:sz w:val="28"/>
          <w:szCs w:val="28"/>
          <w:highlight w:val="white"/>
        </w:rPr>
        <w:t xml:space="preserve">               </w:t>
      </w:r>
      <w:r>
        <w:rPr>
          <w:color w:val="auto"/>
          <w:sz w:val="28"/>
          <w:szCs w:val="28"/>
          <w:highlight w:val="white"/>
        </w:rPr>
        <w:t xml:space="preserve">109,9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auto"/>
          <w:sz w:val="28"/>
          <w:szCs w:val="28"/>
          <w:highlight w:val="white"/>
        </w:rPr>
        <w:suppressLineNumbers w:val="0"/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01.12.2024 составляет</w:t>
      </w:r>
      <w:r>
        <w:rPr>
          <w:iCs/>
          <w:color w:val="auto"/>
          <w:sz w:val="28"/>
          <w:szCs w:val="28"/>
          <w:highlight w:val="white"/>
        </w:rPr>
        <w:t xml:space="preserve"> 136 401,1</w:t>
      </w:r>
      <w:r>
        <w:rPr>
          <w:iCs/>
          <w:color w:val="auto"/>
          <w:sz w:val="28"/>
          <w:szCs w:val="28"/>
          <w:highlight w:val="white"/>
        </w:rPr>
        <w:t xml:space="preserve">               </w:t>
      </w:r>
      <w:r>
        <w:rPr>
          <w:iCs/>
          <w:color w:val="auto"/>
          <w:sz w:val="28"/>
          <w:szCs w:val="28"/>
          <w:highlight w:val="white"/>
        </w:rPr>
        <w:t xml:space="preserve">тыс. руб., в том числе задолженность организаций </w:t>
      </w:r>
      <w:r>
        <w:rPr>
          <w:iCs/>
          <w:color w:val="auto"/>
          <w:sz w:val="28"/>
          <w:szCs w:val="28"/>
          <w:highlight w:val="white"/>
        </w:rPr>
        <w:t xml:space="preserve">- </w:t>
      </w:r>
      <w:r>
        <w:rPr>
          <w:iCs/>
          <w:color w:val="auto"/>
          <w:sz w:val="28"/>
          <w:szCs w:val="28"/>
          <w:highlight w:val="white"/>
        </w:rPr>
        <w:t xml:space="preserve">82 079,9 тыс. руб., физических лиц – 54 321,2 тыс. руб. По сравнению с 01.01.2024 года задолженность уменьшилась</w:t>
      </w:r>
      <w:r>
        <w:rPr>
          <w:iCs/>
          <w:color w:val="auto"/>
          <w:sz w:val="28"/>
          <w:szCs w:val="28"/>
          <w:highlight w:val="white"/>
        </w:rPr>
        <w:t xml:space="preserve">          </w:t>
      </w:r>
      <w:r>
        <w:rPr>
          <w:iCs/>
          <w:color w:val="auto"/>
          <w:sz w:val="28"/>
          <w:szCs w:val="28"/>
          <w:highlight w:val="white"/>
        </w:rPr>
        <w:t xml:space="preserve"> на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85 154,9 тыс. руб., в том числе по организациям снизилась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на 27 257,7 тыс. руб.,</w:t>
      </w:r>
      <w:r>
        <w:rPr>
          <w:iCs/>
          <w:color w:val="auto"/>
          <w:sz w:val="28"/>
          <w:szCs w:val="28"/>
          <w:highlight w:val="white"/>
        </w:rPr>
        <w:t xml:space="preserve">              </w:t>
      </w:r>
      <w:r>
        <w:rPr>
          <w:iCs/>
          <w:color w:val="auto"/>
          <w:sz w:val="28"/>
          <w:szCs w:val="28"/>
          <w:highlight w:val="white"/>
        </w:rPr>
        <w:t xml:space="preserve"> по физическим лицам - на 57 567,2 тыс. руб. 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color w:val="7030a0"/>
          <w:sz w:val="16"/>
          <w:szCs w:val="16"/>
          <w:highlight w:val="yellow"/>
        </w:rPr>
        <w:suppressLineNumbers w:val="0"/>
      </w:pPr>
      <w:r>
        <w:rPr>
          <w:color w:val="7030a0"/>
          <w:sz w:val="16"/>
          <w:szCs w:val="16"/>
          <w:highlight w:val="yellow"/>
        </w:rPr>
      </w:r>
      <w:r>
        <w:rPr>
          <w:color w:val="7030a0"/>
          <w:sz w:val="16"/>
          <w:szCs w:val="16"/>
          <w:highlight w:val="yellow"/>
        </w:rPr>
      </w:r>
      <w:r>
        <w:rPr>
          <w:color w:val="7030a0"/>
          <w:sz w:val="16"/>
          <w:szCs w:val="16"/>
          <w:highlight w:val="yellow"/>
        </w:rPr>
      </w:r>
    </w:p>
    <w:p>
      <w:pPr>
        <w:contextualSpacing w:val="0"/>
        <w:ind w:left="142" w:firstLine="566"/>
        <w:jc w:val="both"/>
        <w:spacing w:before="0" w:after="0" w:line="240" w:lineRule="auto"/>
        <w:rPr>
          <w:iCs/>
          <w:color w:val="auto"/>
          <w:sz w:val="28"/>
          <w:szCs w:val="28"/>
        </w:rPr>
        <w:suppressLineNumbers w:val="0"/>
      </w:pPr>
      <w:r>
        <w:rPr>
          <w:b/>
          <w:iCs/>
          <w:color w:val="auto"/>
          <w:sz w:val="28"/>
          <w:szCs w:val="28"/>
          <w:highlight w:val="white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</w:r>
      <w:r>
        <w:rPr>
          <w:b/>
          <w:iCs/>
          <w:color w:val="auto"/>
          <w:sz w:val="28"/>
          <w:szCs w:val="28"/>
          <w:highlight w:val="white"/>
        </w:rPr>
        <w:t xml:space="preserve">,</w:t>
      </w:r>
      <w:r>
        <w:rPr>
          <w:b/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поступили в сумме 7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iCs/>
          <w:color w:val="auto"/>
          <w:sz w:val="28"/>
          <w:szCs w:val="28"/>
          <w:highlight w:val="white"/>
        </w:rPr>
        <w:t xml:space="preserve">403,8 тыс. руб.</w:t>
      </w:r>
      <w:r>
        <w:rPr>
          <w:rFonts w:eastAsia="Calibri"/>
          <w:color w:val="auto"/>
          <w:sz w:val="28"/>
          <w:szCs w:val="28"/>
          <w:highlight w:val="white"/>
        </w:rPr>
        <w:t xml:space="preserve">, что в 2,8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раза превышает план года (2 640,0 тыс. руб.).</w:t>
      </w:r>
      <w:r>
        <w:rPr>
          <w:iCs/>
          <w:color w:val="auto"/>
          <w:sz w:val="28"/>
          <w:szCs w:val="28"/>
          <w:highlight w:val="white"/>
        </w:rPr>
        <w:t xml:space="preserve"> Перевыполнение плана обусловлено распределением чистой прибыли ООО «ЦПР им. М.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  <w:t xml:space="preserve">Горького» за 2023 год.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708"/>
        <w:spacing w:line="240" w:lineRule="atLeast"/>
        <w:rPr>
          <w:color w:val="7030a0"/>
          <w:sz w:val="16"/>
          <w:szCs w:val="16"/>
          <w:highlight w:val="white"/>
        </w:rPr>
      </w:pPr>
      <w:r>
        <w:rPr>
          <w:color w:val="7030a0"/>
          <w:sz w:val="16"/>
          <w:szCs w:val="16"/>
          <w:highlight w:val="white"/>
        </w:rPr>
      </w:r>
      <w:r>
        <w:rPr>
          <w:color w:val="7030a0"/>
          <w:sz w:val="16"/>
          <w:szCs w:val="16"/>
          <w:highlight w:val="white"/>
        </w:rPr>
      </w:r>
      <w:r>
        <w:rPr>
          <w:color w:val="7030a0"/>
          <w:sz w:val="16"/>
          <w:szCs w:val="16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 (за исключением средств от продажи п</w:t>
      </w:r>
      <w:r>
        <w:rPr>
          <w:b/>
          <w:color w:val="auto"/>
          <w:sz w:val="28"/>
          <w:szCs w:val="28"/>
          <w:highlight w:val="white"/>
        </w:rPr>
        <w:t xml:space="preserve">рава на заключение договоров аренды), </w:t>
      </w:r>
      <w:r>
        <w:rPr>
          <w:color w:val="auto"/>
          <w:sz w:val="28"/>
          <w:szCs w:val="28"/>
          <w:highlight w:val="white"/>
        </w:rPr>
        <w:t xml:space="preserve">поступили в сумме 277 546,9 тыс. руб., </w:t>
      </w:r>
      <w:r>
        <w:rPr>
          <w:color w:val="auto"/>
          <w:sz w:val="28"/>
          <w:szCs w:val="28"/>
          <w:highlight w:val="white"/>
        </w:rPr>
        <w:t xml:space="preserve">                </w:t>
      </w:r>
      <w:r>
        <w:rPr>
          <w:color w:val="auto"/>
          <w:sz w:val="28"/>
          <w:szCs w:val="28"/>
          <w:highlight w:val="white"/>
        </w:rPr>
        <w:t xml:space="preserve">или 98,8 % к плану года (280 952,0 тыс. руб.). На неисполнение планового задани</w:t>
      </w:r>
      <w:r>
        <w:rPr>
          <w:color w:val="auto"/>
          <w:sz w:val="28"/>
          <w:szCs w:val="28"/>
          <w:highlight w:val="white"/>
        </w:rPr>
        <w:t xml:space="preserve">я повлияли произведенные возвраты денежных средств на основании заявлений арендаторов, в том числе перерасчет арендной платы за период 2021-2023 годов согласно Приказу Минэкономразвития России от 01.12.2006 № 396 ДКРС ОАО «РЖД», в сумме 13 303,4 тыс. руб.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white"/>
        </w:rPr>
        <w:t xml:space="preserve">Относительно прошлого года поступления по данному виду дохода уменьшились на 6 028,8 тыс. руб.</w:t>
      </w:r>
      <w:r>
        <w:rPr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или на 2,1 %.</w:t>
      </w:r>
      <w:r>
        <w:rPr>
          <w:color w:val="auto"/>
          <w:sz w:val="28"/>
          <w:szCs w:val="28"/>
          <w:highlight w:val="yellow"/>
        </w:rPr>
      </w:r>
      <w:r>
        <w:rPr>
          <w:color w:val="auto"/>
          <w:sz w:val="28"/>
          <w:szCs w:val="28"/>
          <w:highlight w:val="yellow"/>
        </w:rPr>
      </w:r>
    </w:p>
    <w:p>
      <w:pPr>
        <w:ind w:firstLine="709"/>
        <w:spacing w:line="240" w:lineRule="atLeast"/>
        <w:rPr>
          <w:b/>
          <w:color w:val="auto"/>
          <w:sz w:val="16"/>
          <w:szCs w:val="16"/>
          <w:highlight w:val="yellow"/>
        </w:rPr>
      </w:pPr>
      <w:r>
        <w:rPr>
          <w:b/>
          <w:color w:val="auto"/>
          <w:sz w:val="16"/>
          <w:szCs w:val="16"/>
          <w:highlight w:val="yellow"/>
        </w:rPr>
      </w:r>
      <w:r>
        <w:rPr>
          <w:b/>
          <w:color w:val="auto"/>
          <w:sz w:val="16"/>
          <w:szCs w:val="16"/>
          <w:highlight w:val="yellow"/>
        </w:rPr>
      </w:r>
      <w:r>
        <w:rPr>
          <w:b/>
          <w:color w:val="auto"/>
          <w:sz w:val="16"/>
          <w:szCs w:val="16"/>
          <w:highlight w:val="yellow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Доходы, получаемые в виде арендной платы за земли, находящиеся </w:t>
      </w:r>
      <w:r>
        <w:rPr>
          <w:b/>
          <w:color w:val="auto"/>
          <w:sz w:val="28"/>
          <w:szCs w:val="28"/>
          <w:highlight w:val="white"/>
        </w:rPr>
        <w:br/>
        <w:t xml:space="preserve">в собственности городских округов (за исключением средств от продажи права на заключение договоров аренды)</w:t>
      </w:r>
      <w:r>
        <w:rPr>
          <w:b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поступили в сумме</w:t>
      </w:r>
      <w:r>
        <w:rPr>
          <w:i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43 134,3 тыс. руб., что составляет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100,8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 к плану года (42 797,9 тыс. руб.). Перевыполнение плана отчетного периода обусловлено поступлением платежей по договорам, заключенным после формирования бюджетного задания на 2024 год.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Относительно прошлого года поступления</w:t>
      </w:r>
      <w:r>
        <w:rPr>
          <w:color w:val="auto"/>
          <w:sz w:val="28"/>
          <w:szCs w:val="28"/>
          <w:highlight w:val="white"/>
        </w:rPr>
        <w:t xml:space="preserve">                            </w:t>
      </w:r>
      <w:r>
        <w:rPr>
          <w:color w:val="auto"/>
          <w:sz w:val="28"/>
          <w:szCs w:val="28"/>
          <w:highlight w:val="white"/>
        </w:rPr>
        <w:t xml:space="preserve"> по данному виду дохода увеличились на 12,1 тыс. руб. 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b/>
          <w:color w:val="002060"/>
          <w:sz w:val="16"/>
          <w:szCs w:val="16"/>
          <w:highlight w:val="yellow"/>
        </w:rPr>
      </w:pPr>
      <w:r>
        <w:rPr>
          <w:b/>
          <w:color w:val="002060"/>
          <w:sz w:val="16"/>
          <w:szCs w:val="16"/>
          <w:highlight w:val="yellow"/>
        </w:rPr>
      </w:r>
      <w:r>
        <w:rPr>
          <w:b/>
          <w:color w:val="002060"/>
          <w:sz w:val="16"/>
          <w:szCs w:val="16"/>
          <w:highlight w:val="yellow"/>
        </w:rPr>
      </w:r>
      <w:r>
        <w:rPr>
          <w:b/>
          <w:color w:val="002060"/>
          <w:sz w:val="16"/>
          <w:szCs w:val="16"/>
          <w:highlight w:val="yellow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Средства от продажи права на заключение договоров аренды земельных участков,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auto"/>
          <w:sz w:val="28"/>
          <w:szCs w:val="28"/>
          <w:highlight w:val="white"/>
        </w:rPr>
        <w:t xml:space="preserve">, в целом поступили в сумме 496 200,5 тыс. руб., что составляет 112,9 % </w:t>
      </w:r>
      <w:r>
        <w:rPr>
          <w:color w:val="auto"/>
          <w:sz w:val="28"/>
          <w:szCs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плана года (439 581,6 тыс. руб.). Относительно прошлого года поступления по данному виду дохода увеличились в 2,6 раза.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8"/>
        <w:spacing w:line="240" w:lineRule="atLeast"/>
        <w:rPr>
          <w:color w:val="auto"/>
          <w:sz w:val="16"/>
          <w:szCs w:val="16"/>
          <w:highlight w:val="yellow"/>
        </w:rPr>
      </w:pPr>
      <w:r>
        <w:rPr>
          <w:color w:val="auto"/>
          <w:sz w:val="16"/>
          <w:szCs w:val="16"/>
          <w:highlight w:val="yellow"/>
        </w:rPr>
      </w:r>
      <w:r>
        <w:rPr>
          <w:color w:val="auto"/>
          <w:sz w:val="16"/>
          <w:szCs w:val="16"/>
          <w:highlight w:val="yellow"/>
        </w:rPr>
      </w:r>
      <w:r>
        <w:rPr>
          <w:color w:val="auto"/>
          <w:sz w:val="16"/>
          <w:szCs w:val="16"/>
          <w:highlight w:val="yellow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</w:rPr>
        <w:outlineLvl w:val="0"/>
      </w:pPr>
      <w:r>
        <w:rPr>
          <w:rFonts w:eastAsia="Calibri"/>
          <w:b/>
          <w:color w:val="auto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 поступили в сумме 80 193,3 тыс. руб., что составляет 84,3 % к плану года (95 135,2 тыс. руб.). </w:t>
      </w:r>
      <w:r>
        <w:rPr>
          <w:color w:val="auto"/>
          <w:sz w:val="28"/>
          <w:szCs w:val="28"/>
          <w:highlight w:val="white"/>
        </w:rPr>
        <w:t xml:space="preserve">Относительно 2023 года поступления по данному виду дохода составили 97,2 %.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rFonts w:eastAsia="Calibri"/>
          <w:color w:val="auto"/>
          <w:sz w:val="28"/>
          <w:szCs w:val="28"/>
        </w:rPr>
        <w:t xml:space="preserve">Невыполнение плана отчетного периода обусловлено увеличением количества заявок на предоставление льготы и </w:t>
      </w:r>
      <w:r>
        <w:rPr>
          <w:color w:val="auto"/>
          <w:sz w:val="28"/>
          <w:szCs w:val="28"/>
        </w:rPr>
        <w:t xml:space="preserve">нарушением арендаторами договорных обязательств по оплате.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2060"/>
          <w:sz w:val="16"/>
          <w:szCs w:val="16"/>
          <w:highlight w:val="white"/>
        </w:rPr>
        <w:outlineLvl w:val="0"/>
      </w:pPr>
      <w:r>
        <w:rPr>
          <w:color w:val="002060"/>
          <w:sz w:val="16"/>
          <w:szCs w:val="16"/>
          <w:highlight w:val="white"/>
        </w:rPr>
      </w:r>
      <w:r>
        <w:rPr>
          <w:color w:val="002060"/>
          <w:sz w:val="16"/>
          <w:szCs w:val="16"/>
          <w:highlight w:val="white"/>
        </w:rPr>
      </w:r>
      <w:r>
        <w:rPr>
          <w:color w:val="002060"/>
          <w:sz w:val="16"/>
          <w:szCs w:val="16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</w:t>
      </w:r>
      <w:r>
        <w:rPr>
          <w:b/>
          <w:color w:val="auto"/>
          <w:sz w:val="28"/>
          <w:szCs w:val="28"/>
        </w:rPr>
        <w:t xml:space="preserve">юджетных и автономных учреждений, а также имущества государственных </w:t>
      </w:r>
      <w:r>
        <w:rPr>
          <w:b/>
          <w:color w:val="auto"/>
          <w:sz w:val="28"/>
          <w:szCs w:val="28"/>
        </w:rPr>
        <w:t xml:space="preserve">                       </w:t>
      </w:r>
      <w:r>
        <w:rPr>
          <w:b/>
          <w:color w:val="auto"/>
          <w:sz w:val="28"/>
          <w:szCs w:val="28"/>
        </w:rPr>
        <w:t xml:space="preserve">и муниципальных унитарных предприятий, в том числе казенных)</w:t>
      </w:r>
      <w:r>
        <w:rPr>
          <w:color w:val="auto"/>
          <w:sz w:val="28"/>
          <w:szCs w:val="28"/>
        </w:rPr>
        <w:t xml:space="preserve">, поступили</w:t>
      </w: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сумме 199 122,7 тыс. руб., что составляет 107,9 % к плану года (184 622,0 тыс. руб.). Относительно прошлого года поступления по данному виду дохода составили 110,2 %.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том числе: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>
        <w:rPr>
          <w:b/>
          <w:i/>
          <w:color w:val="auto"/>
          <w:sz w:val="28"/>
          <w:szCs w:val="28"/>
        </w:rPr>
        <w:t xml:space="preserve">доходы по договорам на размещение рекламных конструкций</w:t>
      </w:r>
      <w:r>
        <w:rPr>
          <w:i/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 xml:space="preserve">администри</w:t>
      </w:r>
      <w:r>
        <w:rPr>
          <w:i/>
          <w:color w:val="auto"/>
          <w:sz w:val="28"/>
          <w:szCs w:val="28"/>
        </w:rPr>
        <w:t xml:space="preserve">-</w:t>
      </w:r>
      <w:r>
        <w:rPr>
          <w:i/>
          <w:color w:val="auto"/>
          <w:sz w:val="28"/>
          <w:szCs w:val="28"/>
        </w:rPr>
        <w:t xml:space="preserve">руемые</w:t>
      </w:r>
      <w:r>
        <w:rPr>
          <w:i/>
          <w:color w:val="auto"/>
          <w:sz w:val="28"/>
          <w:szCs w:val="28"/>
        </w:rPr>
        <w:t xml:space="preserve"> департаментом экономики и промышленной политики</w:t>
      </w:r>
      <w:r>
        <w:rPr>
          <w:color w:val="auto"/>
          <w:sz w:val="28"/>
          <w:szCs w:val="28"/>
        </w:rPr>
        <w:t xml:space="preserve">, поступили в сумме </w:t>
      </w: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111 751,0 тыс. руб., что составляет 109,2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% к плану года (102 367,9 тыс. руб.).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Перевыполнение плана связано с поступлением в отчетном периоде обеспечительных платежей, планируемых к поступлению в декабре 2023 года, и платы</w:t>
      </w:r>
      <w:r>
        <w:rPr>
          <w:color w:val="auto"/>
          <w:sz w:val="28"/>
          <w:szCs w:val="28"/>
        </w:rPr>
        <w:t xml:space="preserve"> по договорам ранее запланированного срока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i/>
          <w:color w:val="auto"/>
          <w:sz w:val="28"/>
          <w:szCs w:val="28"/>
          <w:highlight w:val="white"/>
        </w:rPr>
        <w:t xml:space="preserve">- </w:t>
      </w:r>
      <w:r>
        <w:rPr>
          <w:b/>
          <w:i/>
          <w:color w:val="auto"/>
          <w:sz w:val="28"/>
          <w:szCs w:val="28"/>
          <w:highlight w:val="white"/>
        </w:rPr>
        <w:t xml:space="preserve">доходы по договорам на размещение нестационарных объектов</w:t>
      </w:r>
      <w:r>
        <w:rPr>
          <w:i/>
          <w:color w:val="auto"/>
          <w:sz w:val="28"/>
          <w:szCs w:val="28"/>
          <w:highlight w:val="white"/>
        </w:rPr>
        <w:t xml:space="preserve">, </w:t>
      </w:r>
      <w:r>
        <w:rPr>
          <w:i/>
          <w:color w:val="auto"/>
          <w:sz w:val="28"/>
          <w:szCs w:val="28"/>
          <w:highlight w:val="white"/>
        </w:rPr>
        <w:t xml:space="preserve">админист</w:t>
      </w:r>
      <w:r>
        <w:rPr>
          <w:i/>
          <w:color w:val="auto"/>
          <w:sz w:val="28"/>
          <w:szCs w:val="28"/>
          <w:highlight w:val="white"/>
        </w:rPr>
        <w:t xml:space="preserve">-</w:t>
      </w:r>
      <w:r>
        <w:rPr>
          <w:i/>
          <w:color w:val="auto"/>
          <w:sz w:val="28"/>
          <w:szCs w:val="28"/>
          <w:highlight w:val="white"/>
        </w:rPr>
        <w:t xml:space="preserve">рируемые</w:t>
      </w:r>
      <w:r>
        <w:rPr>
          <w:i/>
          <w:color w:val="auto"/>
          <w:sz w:val="28"/>
          <w:szCs w:val="28"/>
        </w:rPr>
        <w:t xml:space="preserve"> департаментом экономики и промышленной политики,</w:t>
      </w:r>
      <w:r>
        <w:rPr>
          <w:color w:val="auto"/>
          <w:sz w:val="28"/>
          <w:szCs w:val="28"/>
        </w:rPr>
        <w:t xml:space="preserve"> поступили в сумме 15 489,4 тыс. руб., что в 1,2 раза превышает план года (13 384,8 тыс.</w:t>
      </w:r>
      <w:r>
        <w:rPr>
          <w:color w:val="auto"/>
          <w:sz w:val="28"/>
          <w:szCs w:val="28"/>
          <w:highlight w:val="white"/>
        </w:rPr>
        <w:t xml:space="preserve"> руб.).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Перевыполнение плана обусловлено поступлением авансовых платежей по договорам на размещение нестационарных торговых объектов, а также заключением дополнительных соглашений по продлению сроков действия договоров.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567"/>
        <w:spacing w:line="240" w:lineRule="atLeast"/>
        <w:tabs>
          <w:tab w:val="left" w:pos="0" w:leader="none"/>
          <w:tab w:val="left" w:pos="900" w:leader="none"/>
        </w:tabs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</w:r>
      <w:r>
        <w:rPr>
          <w:color w:val="002060"/>
          <w:sz w:val="16"/>
          <w:szCs w:val="16"/>
        </w:rPr>
      </w:r>
      <w:r>
        <w:rPr>
          <w:color w:val="002060"/>
          <w:sz w:val="16"/>
          <w:szCs w:val="16"/>
        </w:rPr>
      </w:r>
    </w:p>
    <w:p>
      <w:pPr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highlight w:val="white"/>
        </w:rPr>
        <w:t xml:space="preserve">          </w:t>
      </w:r>
      <w:r>
        <w:rPr>
          <w:b/>
          <w:color w:val="auto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auto"/>
          <w:sz w:val="28"/>
          <w:szCs w:val="28"/>
          <w:highlight w:val="white"/>
        </w:rPr>
        <w:t xml:space="preserve"> поступили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26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835,4 тыс. руб., что составляет </w:t>
      </w:r>
      <w:r>
        <w:rPr>
          <w:rFonts w:eastAsia="Calibri"/>
          <w:color w:val="auto"/>
          <w:sz w:val="28"/>
          <w:szCs w:val="28"/>
          <w:highlight w:val="white"/>
        </w:rPr>
        <w:t xml:space="preserve">98,5 % к плану года (27 254,3 тыс. руб.).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Относительно прошлого года поступления по данному виду дохода увеличились в 2,4 раза. </w:t>
      </w:r>
      <w:r>
        <w:rPr>
          <w:rFonts w:eastAsia="Calibri"/>
          <w:color w:val="auto"/>
          <w:sz w:val="28"/>
          <w:szCs w:val="28"/>
          <w:highlight w:val="white"/>
        </w:rPr>
        <w:t xml:space="preserve">В</w:t>
      </w:r>
      <w:r>
        <w:rPr>
          <w:color w:val="auto"/>
          <w:sz w:val="28"/>
          <w:szCs w:val="28"/>
          <w:highlight w:val="white"/>
        </w:rPr>
        <w:t xml:space="preserve"> том числе: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- </w:t>
      </w:r>
      <w:r>
        <w:rPr>
          <w:b/>
          <w:i/>
          <w:color w:val="auto"/>
          <w:sz w:val="28"/>
          <w:szCs w:val="28"/>
          <w:highlight w:val="white"/>
        </w:rPr>
        <w:t xml:space="preserve">плата за негативное воздействие на окружающую среду,</w:t>
      </w:r>
      <w:r>
        <w:rPr>
          <w:i/>
          <w:color w:val="auto"/>
          <w:sz w:val="28"/>
          <w:szCs w:val="28"/>
          <w:highlight w:val="white"/>
        </w:rPr>
        <w:t xml:space="preserve"> администрируемая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Западно-Уральским</w:t>
      </w:r>
      <w:r>
        <w:rPr>
          <w:i/>
          <w:color w:val="auto"/>
          <w:sz w:val="28"/>
          <w:szCs w:val="28"/>
          <w:highlight w:val="white"/>
        </w:rPr>
        <w:t xml:space="preserve"> межрегиональным управлением </w:t>
      </w:r>
      <w:r>
        <w:rPr>
          <w:i/>
          <w:color w:val="auto"/>
          <w:sz w:val="28"/>
          <w:szCs w:val="28"/>
          <w:highlight w:val="white"/>
        </w:rPr>
        <w:t xml:space="preserve">Росприроднадзора</w:t>
      </w:r>
      <w:r>
        <w:rPr>
          <w:i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поступила</w:t>
      </w:r>
      <w:r>
        <w:rPr>
          <w:color w:val="auto"/>
          <w:sz w:val="28"/>
          <w:szCs w:val="28"/>
          <w:highlight w:val="white"/>
        </w:rPr>
        <w:t xml:space="preserve">                   </w:t>
      </w:r>
      <w:r>
        <w:rPr>
          <w:color w:val="auto"/>
          <w:sz w:val="28"/>
          <w:szCs w:val="28"/>
          <w:highlight w:val="white"/>
        </w:rPr>
        <w:t xml:space="preserve"> в сумме 2</w:t>
      </w:r>
      <w:r>
        <w:rPr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780,1 тыс. руб., что составляет 93,9 % от </w:t>
      </w:r>
      <w:r>
        <w:rPr>
          <w:rFonts w:eastAsia="Calibri"/>
          <w:color w:val="auto"/>
          <w:sz w:val="28"/>
          <w:szCs w:val="28"/>
          <w:highlight w:val="white"/>
        </w:rPr>
        <w:t xml:space="preserve">плана года (25 333,7 тыс. руб.)</w:t>
      </w:r>
      <w:r>
        <w:rPr>
          <w:color w:val="auto"/>
          <w:sz w:val="28"/>
          <w:szCs w:val="28"/>
          <w:highlight w:val="white"/>
        </w:rPr>
        <w:t xml:space="preserve">. Невыполнение плана обусловлено произведенным возвратом неверно зачисленной суммы;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</w:rPr>
        <w:outlineLvl w:val="0"/>
      </w:pPr>
      <w:r>
        <w:rPr>
          <w:rFonts w:eastAsia="Calibri"/>
          <w:color w:val="auto"/>
          <w:sz w:val="28"/>
          <w:szCs w:val="28"/>
          <w:highlight w:val="white"/>
        </w:rPr>
        <w:t xml:space="preserve">- </w:t>
      </w:r>
      <w:r>
        <w:rPr>
          <w:rFonts w:eastAsia="Calibri"/>
          <w:b/>
          <w:i/>
          <w:color w:val="auto"/>
          <w:sz w:val="28"/>
          <w:szCs w:val="28"/>
          <w:highlight w:val="white"/>
        </w:rPr>
        <w:t xml:space="preserve">плата за использование лесов,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 администрируемая управлением по экологии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             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 и природопользованию,</w:t>
      </w:r>
      <w:r>
        <w:rPr>
          <w:rFonts w:eastAsia="Calibri"/>
          <w:color w:val="auto"/>
          <w:sz w:val="28"/>
          <w:szCs w:val="28"/>
          <w:highlight w:val="white"/>
        </w:rPr>
        <w:t xml:space="preserve"> поступила в сумме 3 055,3 тыс. руб., что в 1,6 раза превышает план года (1 920,6 тыс. руб.).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Перевыполнение плана связано с </w:t>
      </w:r>
      <w:r>
        <w:rPr>
          <w:color w:val="auto"/>
          <w:sz w:val="28"/>
          <w:szCs w:val="28"/>
          <w:highlight w:val="white"/>
        </w:rPr>
        <w:t xml:space="preserve">увеличением количества договоров аренды.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16"/>
          <w:szCs w:val="16"/>
          <w:highlight w:val="yellow"/>
        </w:rPr>
        <w:outlineLvl w:val="0"/>
      </w:pPr>
      <w:r>
        <w:rPr>
          <w:color w:val="auto"/>
          <w:sz w:val="16"/>
          <w:szCs w:val="16"/>
          <w:highlight w:val="yellow"/>
        </w:rPr>
      </w:r>
      <w:r>
        <w:rPr>
          <w:color w:val="auto"/>
          <w:sz w:val="16"/>
          <w:szCs w:val="16"/>
          <w:highlight w:val="yellow"/>
        </w:rPr>
      </w:r>
      <w:r>
        <w:rPr>
          <w:color w:val="auto"/>
          <w:sz w:val="16"/>
          <w:szCs w:val="16"/>
          <w:highlight w:val="yellow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</w:t>
      </w:r>
      <w:r>
        <w:rPr>
          <w:color w:val="auto"/>
          <w:sz w:val="28"/>
          <w:szCs w:val="28"/>
          <w:highlight w:val="white"/>
        </w:rPr>
        <w:t xml:space="preserve"> поступили в сумме 5 200 059,3 тыс. руб., что составляет 97,5 % к плану года (5 333 070,0 тыс. руб.). Относительно прошлого года поступления по данному виду дохода составили 107,4 %.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- </w:t>
      </w:r>
      <w:r>
        <w:rPr>
          <w:b/>
          <w:i/>
          <w:color w:val="auto"/>
          <w:sz w:val="28"/>
          <w:szCs w:val="28"/>
          <w:highlight w:val="white"/>
        </w:rPr>
        <w:t xml:space="preserve">средства от реализации проездных документов отдельным категориям граждан города Перми,</w:t>
      </w:r>
      <w:r>
        <w:rPr>
          <w:i/>
          <w:color w:val="auto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587 119,9 тыс. руб., или 98,5 % к п</w:t>
      </w:r>
      <w:r>
        <w:rPr>
          <w:color w:val="auto"/>
          <w:sz w:val="28"/>
          <w:szCs w:val="28"/>
          <w:highlight w:val="white"/>
        </w:rPr>
        <w:t xml:space="preserve">лану года (596 188,0 тыс. руб.);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 - </w:t>
      </w:r>
      <w:r>
        <w:rPr>
          <w:b/>
          <w:i/>
          <w:color w:val="auto"/>
          <w:sz w:val="28"/>
          <w:szCs w:val="28"/>
          <w:highlight w:val="white"/>
        </w:rPr>
        <w:t xml:space="preserve">средства от реализации единых проездных документов</w:t>
      </w:r>
      <w:r>
        <w:rPr>
          <w:i/>
          <w:color w:val="auto"/>
          <w:sz w:val="28"/>
          <w:szCs w:val="28"/>
          <w:highlight w:val="white"/>
        </w:rPr>
        <w:t xml:space="preserve">, администрируемые департаментом транспорта</w:t>
      </w:r>
      <w:r>
        <w:rPr>
          <w:color w:val="auto"/>
          <w:sz w:val="28"/>
          <w:szCs w:val="28"/>
          <w:highlight w:val="white"/>
        </w:rPr>
        <w:t xml:space="preserve">, поступили в сумме 401 546,2 тыс. руб.,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или 88,3 %</w:t>
      </w:r>
      <w:r>
        <w:rPr>
          <w:color w:val="auto"/>
          <w:sz w:val="28"/>
          <w:szCs w:val="28"/>
          <w:highlight w:val="white"/>
        </w:rPr>
        <w:t xml:space="preserve">                    </w:t>
      </w:r>
      <w:r>
        <w:rPr>
          <w:color w:val="auto"/>
          <w:sz w:val="28"/>
          <w:szCs w:val="28"/>
          <w:highlight w:val="white"/>
        </w:rPr>
        <w:t xml:space="preserve"> к п</w:t>
      </w:r>
      <w:r>
        <w:rPr>
          <w:color w:val="auto"/>
          <w:sz w:val="28"/>
          <w:szCs w:val="28"/>
          <w:highlight w:val="white"/>
        </w:rPr>
        <w:t xml:space="preserve">лану года (454 879,5 тыс. руб.);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- </w:t>
      </w:r>
      <w:r>
        <w:rPr>
          <w:b/>
          <w:i/>
          <w:color w:val="auto"/>
          <w:sz w:val="28"/>
          <w:szCs w:val="28"/>
          <w:highlight w:val="white"/>
        </w:rPr>
        <w:t xml:space="preserve">средства от перечисления платы за проезд пассажиров и провоз багаж</w:t>
      </w:r>
      <w:r>
        <w:rPr>
          <w:i/>
          <w:color w:val="auto"/>
          <w:sz w:val="28"/>
          <w:szCs w:val="28"/>
          <w:highlight w:val="white"/>
        </w:rPr>
        <w:t xml:space="preserve">а, администрируемые департаментом транспорта</w:t>
      </w:r>
      <w:r>
        <w:rPr>
          <w:color w:val="auto"/>
          <w:sz w:val="28"/>
          <w:szCs w:val="28"/>
          <w:highlight w:val="white"/>
        </w:rPr>
        <w:t xml:space="preserve">, поступили в сумме 4 100 122,8</w:t>
      </w:r>
      <w:r>
        <w:rPr>
          <w:color w:val="auto"/>
          <w:sz w:val="28"/>
          <w:szCs w:val="28"/>
          <w:highlight w:val="white"/>
        </w:rPr>
        <w:t xml:space="preserve">                      </w:t>
      </w:r>
      <w:r>
        <w:rPr>
          <w:color w:val="auto"/>
          <w:sz w:val="28"/>
          <w:szCs w:val="28"/>
          <w:highlight w:val="white"/>
        </w:rPr>
        <w:t xml:space="preserve">тыс. руб., или 96,3 % к плану года (4 256 276,0 тыс. руб.).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целом по доходам от платы за проезд выполнение составило 95,9 % </w:t>
      </w:r>
      <w:r>
        <w:rPr>
          <w:color w:val="auto"/>
          <w:sz w:val="28"/>
          <w:szCs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плана отчетного периода.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rFonts w:eastAsia="Calibri"/>
          <w:color w:val="auto"/>
          <w:sz w:val="16"/>
          <w:szCs w:val="16"/>
        </w:rPr>
        <w:outlineLvl w:val="0"/>
      </w:pPr>
      <w:r>
        <w:rPr>
          <w:rFonts w:eastAsia="Calibri"/>
          <w:color w:val="auto"/>
          <w:sz w:val="16"/>
          <w:szCs w:val="16"/>
        </w:rPr>
      </w:r>
      <w:r>
        <w:rPr>
          <w:rFonts w:eastAsia="Calibri"/>
          <w:color w:val="auto"/>
          <w:sz w:val="16"/>
          <w:szCs w:val="16"/>
        </w:rPr>
      </w:r>
      <w:r>
        <w:rPr>
          <w:rFonts w:eastAsia="Calibri"/>
          <w:color w:val="auto"/>
          <w:sz w:val="16"/>
          <w:szCs w:val="16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продажи земельных участков, находящихся в государственной</w:t>
      </w:r>
      <w:r>
        <w:rPr>
          <w:b/>
          <w:color w:val="auto"/>
          <w:sz w:val="28"/>
          <w:szCs w:val="28"/>
          <w:highlight w:val="white"/>
        </w:rPr>
        <w:t xml:space="preserve">                </w:t>
      </w:r>
      <w:r>
        <w:rPr>
          <w:b/>
          <w:color w:val="auto"/>
          <w:sz w:val="28"/>
          <w:szCs w:val="28"/>
          <w:highlight w:val="white"/>
        </w:rPr>
        <w:t xml:space="preserve"> и муниципальной собственности</w:t>
      </w:r>
      <w:r>
        <w:rPr>
          <w:b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поступили в сумме 238 626,9 тыс. руб.,</w:t>
      </w:r>
      <w:r>
        <w:rPr>
          <w:color w:val="002060"/>
          <w:sz w:val="28"/>
          <w:szCs w:val="28"/>
          <w:highlight w:val="white"/>
        </w:rPr>
        <w:t xml:space="preserve">                              </w:t>
      </w:r>
      <w:r>
        <w:rPr>
          <w:color w:val="auto"/>
          <w:sz w:val="28"/>
          <w:szCs w:val="28"/>
          <w:highlight w:val="white"/>
        </w:rPr>
        <w:t xml:space="preserve">что составляет 126,0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 к плану года (189 360,8 тыс. руб.). Относительно прошлого года поступления по данному виду дохода составили 107,3 %.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spacing w:line="240" w:lineRule="atLeast"/>
        <w:tabs>
          <w:tab w:val="num" w:pos="0" w:leader="none"/>
          <w:tab w:val="left" w:pos="709" w:leader="none"/>
        </w:tabs>
        <w:rPr>
          <w:b/>
          <w:color w:val="auto"/>
          <w:sz w:val="16"/>
          <w:szCs w:val="16"/>
          <w:highlight w:val="yellow"/>
        </w:rPr>
      </w:pPr>
      <w:r>
        <w:rPr>
          <w:b/>
          <w:color w:val="auto"/>
          <w:sz w:val="16"/>
          <w:szCs w:val="16"/>
          <w:highlight w:val="yellow"/>
        </w:rPr>
      </w:r>
      <w:r>
        <w:rPr>
          <w:b/>
          <w:color w:val="auto"/>
          <w:sz w:val="16"/>
          <w:szCs w:val="16"/>
          <w:highlight w:val="yellow"/>
        </w:rPr>
      </w:r>
      <w:r>
        <w:rPr>
          <w:b/>
          <w:color w:val="auto"/>
          <w:sz w:val="16"/>
          <w:szCs w:val="16"/>
          <w:highlight w:val="yellow"/>
        </w:rPr>
      </w:r>
    </w:p>
    <w:p>
      <w:pPr>
        <w:contextualSpacing/>
        <w:ind w:firstLine="709"/>
        <w:spacing w:line="240" w:lineRule="atLeast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</w:t>
      </w:r>
      <w:r>
        <w:rPr>
          <w:b/>
          <w:color w:val="auto"/>
          <w:sz w:val="28"/>
          <w:szCs w:val="28"/>
          <w:highlight w:val="white"/>
        </w:rPr>
        <w:t xml:space="preserve">   </w:t>
      </w:r>
      <w:r>
        <w:rPr>
          <w:b/>
          <w:color w:val="auto"/>
          <w:sz w:val="28"/>
          <w:szCs w:val="28"/>
          <w:highlight w:val="white"/>
        </w:rPr>
        <w:t xml:space="preserve">или муниципальной собственности</w:t>
      </w:r>
      <w:r>
        <w:rPr>
          <w:b/>
          <w:color w:val="auto"/>
          <w:sz w:val="28"/>
          <w:szCs w:val="28"/>
          <w:highlight w:val="white"/>
        </w:rPr>
        <w:t xml:space="preserve">, </w:t>
      </w:r>
      <w:r>
        <w:rPr>
          <w:color w:val="auto"/>
          <w:sz w:val="28"/>
          <w:szCs w:val="28"/>
          <w:highlight w:val="white"/>
        </w:rPr>
        <w:t xml:space="preserve">поступили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149 552,6 тыс. руб., </w:t>
      </w:r>
      <w:r>
        <w:rPr>
          <w:color w:val="auto"/>
          <w:sz w:val="28"/>
          <w:szCs w:val="28"/>
          <w:highlight w:val="white"/>
        </w:rPr>
        <w:t xml:space="preserve">                         </w:t>
      </w:r>
      <w:r>
        <w:rPr>
          <w:color w:val="auto"/>
          <w:sz w:val="28"/>
          <w:szCs w:val="28"/>
          <w:highlight w:val="white"/>
        </w:rPr>
        <w:t xml:space="preserve">что составляет 182,0 % к плану года (82 177,0 тыс. руб.). Относительно прошлого года поступления по данному виду дохода составили 149,6 %.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rFonts w:eastAsia="Calibri"/>
          <w:color w:val="auto"/>
          <w:sz w:val="16"/>
          <w:szCs w:val="16"/>
        </w:rPr>
        <w:outlineLvl w:val="0"/>
      </w:pPr>
      <w:r>
        <w:rPr>
          <w:rFonts w:eastAsia="Calibri"/>
          <w:color w:val="auto"/>
          <w:sz w:val="16"/>
          <w:szCs w:val="16"/>
        </w:rPr>
      </w:r>
      <w:r>
        <w:rPr>
          <w:rFonts w:eastAsia="Calibri"/>
          <w:color w:val="auto"/>
          <w:sz w:val="16"/>
          <w:szCs w:val="16"/>
        </w:rPr>
      </w:r>
      <w:r>
        <w:rPr>
          <w:rFonts w:eastAsia="Calibri"/>
          <w:color w:val="auto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auto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auto"/>
          <w:sz w:val="28"/>
          <w:szCs w:val="28"/>
          <w:highlight w:val="white"/>
        </w:rPr>
        <w:t xml:space="preserve"> поступили в сумме 319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569,0 тыс. руб., что составляет 101,8 % к</w:t>
      </w:r>
      <w:r>
        <w:rPr>
          <w:rFonts w:eastAsia="Calibri"/>
          <w:color w:val="auto"/>
          <w:sz w:val="28"/>
          <w:szCs w:val="28"/>
          <w:highlight w:val="white"/>
        </w:rPr>
        <w:t xml:space="preserve"> плану года (314 008,0 тыс. руб.)</w:t>
      </w:r>
      <w:r>
        <w:rPr>
          <w:color w:val="auto"/>
          <w:sz w:val="28"/>
          <w:szCs w:val="28"/>
          <w:highlight w:val="white"/>
        </w:rPr>
        <w:t xml:space="preserve">. Относительно 2023 года поступления по данному виду дохода составили 140,6 %.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contextualSpacing/>
        <w:ind w:right="-1" w:firstLine="709"/>
        <w:spacing w:line="240" w:lineRule="atLeast"/>
        <w:widowControl/>
        <w:rPr>
          <w:b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auto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auto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auto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auto"/>
          <w:sz w:val="28"/>
          <w:szCs w:val="28"/>
          <w:highlight w:val="white"/>
        </w:rPr>
        <w:t xml:space="preserve">поступили доходы в сумме </w:t>
      </w:r>
      <w:r>
        <w:rPr>
          <w:color w:val="auto"/>
          <w:sz w:val="28"/>
          <w:szCs w:val="28"/>
          <w:highlight w:val="white"/>
        </w:rPr>
        <w:br/>
        <w:t xml:space="preserve">287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116,2 тыс. руб., что составляет 103,7 % от плана года (276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773,3 тыс. руб.).</w:t>
      </w:r>
      <w:r>
        <w:rPr>
          <w:bCs/>
          <w:color w:val="auto"/>
          <w:sz w:val="28"/>
          <w:szCs w:val="28"/>
          <w:highlight w:val="white"/>
        </w:rPr>
        <w:t xml:space="preserve"> Перевыполнение плана отчетного периода обусловлено реализацией муниципального имущества по цене выше запланированной.</w:t>
      </w:r>
      <w:r>
        <w:rPr>
          <w:bCs/>
          <w:color w:val="auto"/>
          <w:sz w:val="28"/>
          <w:szCs w:val="28"/>
          <w:highlight w:val="white"/>
        </w:rPr>
      </w:r>
      <w:r>
        <w:rPr>
          <w:bCs/>
          <w:color w:val="auto"/>
          <w:sz w:val="28"/>
          <w:szCs w:val="28"/>
          <w:highlight w:val="white"/>
        </w:rPr>
      </w:r>
    </w:p>
    <w:p>
      <w:pPr>
        <w:contextualSpacing/>
        <w:ind w:right="-1" w:firstLine="709"/>
        <w:spacing w:line="240" w:lineRule="atLeast"/>
        <w:widowControl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,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 доходы поступили в сумме </w:t>
      </w:r>
      <w:r>
        <w:rPr>
          <w:rFonts w:eastAsia="Calibri"/>
          <w:color w:val="auto"/>
          <w:sz w:val="28"/>
          <w:szCs w:val="28"/>
          <w:highlight w:val="white"/>
        </w:rPr>
        <w:t xml:space="preserve">32 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452,7 тыс. руб., </w:t>
      </w:r>
      <w:r>
        <w:rPr>
          <w:color w:val="auto"/>
          <w:sz w:val="28"/>
          <w:szCs w:val="28"/>
          <w:highlight w:val="white"/>
        </w:rPr>
        <w:t xml:space="preserve">что составляет</w:t>
      </w:r>
      <w:r>
        <w:rPr>
          <w:rFonts w:eastAsia="Calibri"/>
          <w:bCs/>
          <w:color w:val="auto"/>
          <w:sz w:val="28"/>
          <w:szCs w:val="28"/>
        </w:rPr>
        <w:t xml:space="preserve"> 90,6 % от плана года (35 830,9 тыс. руб.). Невыполнение плана отчетного периода связано с низкой платежной дисциплиной плательщиков.</w:t>
      </w:r>
      <w:r>
        <w:rPr>
          <w:rFonts w:eastAsia="Calibri"/>
          <w:bCs/>
          <w:color w:val="auto"/>
          <w:sz w:val="28"/>
          <w:szCs w:val="28"/>
        </w:rPr>
      </w:r>
      <w:r>
        <w:rPr>
          <w:rFonts w:eastAsia="Calibri"/>
          <w:bCs/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</w:tabs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highlight w:val="white"/>
        </w:rPr>
        <w:t xml:space="preserve">Прочие неналоговые доходы</w:t>
      </w:r>
      <w:r>
        <w:rPr>
          <w:color w:val="auto"/>
          <w:sz w:val="28"/>
          <w:szCs w:val="28"/>
          <w:highlight w:val="white"/>
        </w:rPr>
        <w:t xml:space="preserve"> поступили в сумме 242 188,3 тыс. руб., </w:t>
      </w:r>
      <w:r>
        <w:rPr>
          <w:color w:val="auto"/>
          <w:sz w:val="28"/>
          <w:szCs w:val="28"/>
          <w:highlight w:val="white"/>
        </w:rPr>
        <w:t xml:space="preserve">                         </w:t>
      </w:r>
      <w:r>
        <w:rPr>
          <w:color w:val="auto"/>
          <w:sz w:val="28"/>
          <w:szCs w:val="28"/>
          <w:highlight w:val="white"/>
        </w:rPr>
        <w:t xml:space="preserve">что составляет 165,5 % к</w:t>
      </w:r>
      <w:r>
        <w:rPr>
          <w:rFonts w:eastAsia="Calibri"/>
          <w:color w:val="auto"/>
          <w:sz w:val="28"/>
          <w:szCs w:val="28"/>
          <w:highlight w:val="white"/>
        </w:rPr>
        <w:t xml:space="preserve"> плану года (146 377,0 тыс. руб.)</w:t>
      </w:r>
      <w:r>
        <w:rPr>
          <w:color w:val="auto"/>
          <w:sz w:val="28"/>
          <w:szCs w:val="28"/>
          <w:highlight w:val="white"/>
        </w:rPr>
        <w:t xml:space="preserve">. Относительно 2023 года поступления по данному виду дохода составили 51,9 %.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rFonts w:eastAsia="Calibri"/>
          <w:bCs/>
          <w:color w:val="auto"/>
          <w:sz w:val="28"/>
          <w:szCs w:val="28"/>
          <w:highlight w:val="white"/>
        </w:rPr>
      </w:pPr>
      <w:r>
        <w:rPr>
          <w:b/>
          <w:i/>
          <w:color w:val="auto"/>
          <w:sz w:val="28"/>
          <w:szCs w:val="28"/>
          <w:highlight w:val="white"/>
        </w:rPr>
        <w:t xml:space="preserve">- восстановительная стоимость зеленых насаждений</w:t>
      </w:r>
      <w:r>
        <w:rPr>
          <w:i/>
          <w:color w:val="auto"/>
          <w:sz w:val="28"/>
          <w:szCs w:val="28"/>
          <w:highlight w:val="white"/>
        </w:rPr>
        <w:t xml:space="preserve">, администрируемая управлением по экологии и природопользованию,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поступила в сумме 1</w:t>
      </w:r>
      <w:r>
        <w:rPr>
          <w:rFonts w:eastAsia="Calibri"/>
          <w:color w:val="auto"/>
          <w:sz w:val="28"/>
          <w:szCs w:val="28"/>
          <w:highlight w:val="white"/>
        </w:rPr>
        <w:t xml:space="preserve">62 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980,1 тыс. руб., что в 1,6 раза превышает план года (100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165,0 тыс. руб.). Перевыполнение плана связано с поступлениями от крупных предприятий в сфере ЖКХ и строительства.</w:t>
      </w:r>
      <w:r>
        <w:rPr>
          <w:rFonts w:eastAsia="Calibri"/>
          <w:bCs/>
          <w:color w:val="auto"/>
          <w:sz w:val="28"/>
          <w:szCs w:val="28"/>
          <w:highlight w:val="white"/>
        </w:rPr>
      </w:r>
      <w:r>
        <w:rPr>
          <w:rFonts w:eastAsia="Calibri"/>
          <w:bCs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auto"/>
          <w:sz w:val="32"/>
          <w:szCs w:val="28"/>
          <w:highlight w:val="white"/>
        </w:rPr>
      </w:pPr>
      <w:r>
        <w:rPr>
          <w:color w:val="auto"/>
          <w:sz w:val="32"/>
          <w:szCs w:val="28"/>
          <w:highlight w:val="white"/>
        </w:rPr>
      </w:r>
      <w:r>
        <w:rPr>
          <w:color w:val="auto"/>
          <w:sz w:val="32"/>
          <w:szCs w:val="28"/>
          <w:highlight w:val="white"/>
        </w:rPr>
      </w:r>
      <w:r>
        <w:rPr>
          <w:color w:val="auto"/>
          <w:sz w:val="32"/>
          <w:szCs w:val="28"/>
          <w:highlight w:val="white"/>
        </w:rPr>
      </w:r>
    </w:p>
    <w:p>
      <w:pPr>
        <w:ind w:firstLine="709"/>
        <w:jc w:val="center"/>
        <w:spacing w:line="240" w:lineRule="atLeas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ИСПОЛНЕНИЕ БЮДЖЕТА ПО РАСХОДАМ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rPr>
          <w:szCs w:val="28"/>
        </w:rPr>
      </w:pPr>
      <w:r>
        <w:rPr>
          <w:szCs w:val="28"/>
        </w:rPr>
        <w:t xml:space="preserve">           (приложение 2 к пояснительной записке)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Кассовый расход бюджета (без учёта зарезервированных средств: на исполнение судебных исков, резервного фонда администрации города) за 2024 год составил </w:t>
      </w:r>
      <w:r>
        <w:rPr>
          <w:b/>
          <w:sz w:val="28"/>
          <w:szCs w:val="28"/>
        </w:rPr>
        <w:t xml:space="preserve">                     56 735 435,7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95,2 % </w:t>
      </w:r>
      <w:r>
        <w:rPr>
          <w:sz w:val="28"/>
          <w:szCs w:val="28"/>
        </w:rPr>
        <w:t xml:space="preserve">от годовых ассигнований (59 595 264,3 тыс. руб.). Исполнение по расходам за 2023 год составляло 56 907 356,0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или </w:t>
      </w:r>
      <w:r>
        <w:rPr>
          <w:b/>
          <w:sz w:val="28"/>
          <w:szCs w:val="28"/>
        </w:rPr>
        <w:t xml:space="preserve">95,6 %</w:t>
      </w:r>
      <w:r>
        <w:rPr>
          <w:sz w:val="28"/>
          <w:szCs w:val="28"/>
        </w:rPr>
        <w:t xml:space="preserve">                         от годовых ассигнований.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0"/>
          <w:szCs w:val="20"/>
          <w:highlight w:val="none"/>
        </w:rPr>
      </w:pPr>
      <w:r>
        <w:rPr>
          <w:sz w:val="28"/>
          <w:szCs w:val="28"/>
        </w:rPr>
        <w:t xml:space="preserve">       </w:t>
      </w:r>
      <w:r>
        <w:rPr>
          <w:sz w:val="20"/>
          <w:szCs w:val="20"/>
          <w:highlight w:val="none"/>
        </w:rPr>
      </w:r>
      <w:bookmarkStart w:id="0" w:name="_GoBack"/>
      <w:r/>
      <w:bookmarkEnd w:id="0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0"/>
          <w:szCs w:val="20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за 2024 год в разрезе источников финансирования исполнена следующим образом.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ind w:firstLine="709"/>
        <w:spacing w:line="240" w:lineRule="atLeast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 xml:space="preserve">2.1. за счет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sz w:val="28"/>
          <w:szCs w:val="28"/>
        </w:rPr>
        <w:t xml:space="preserve">- кассовое исполнение составляет </w:t>
      </w:r>
      <w:r>
        <w:rPr>
          <w:b/>
          <w:bCs/>
          <w:sz w:val="28"/>
          <w:szCs w:val="28"/>
        </w:rPr>
        <w:t xml:space="preserve">31 558 789,6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93,4 %</w:t>
      </w:r>
      <w:r>
        <w:rPr>
          <w:sz w:val="28"/>
          <w:szCs w:val="28"/>
        </w:rPr>
        <w:t xml:space="preserve"> от годовых ассигнований (33 794 774,1    тыс. руб.). Исполнение расходов за 2023 год составляло 29 258 600,0 тыс. руб.,                      или </w:t>
      </w:r>
      <w:r>
        <w:rPr>
          <w:b/>
          <w:sz w:val="28"/>
          <w:szCs w:val="28"/>
        </w:rPr>
        <w:t xml:space="preserve">94,9 %</w:t>
      </w:r>
      <w:r>
        <w:rPr>
          <w:sz w:val="28"/>
          <w:szCs w:val="28"/>
        </w:rPr>
        <w:t xml:space="preserve"> от годовых ассигнований.      </w:t>
      </w:r>
      <w:r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709"/>
        <w:spacing w:line="240" w:lineRule="atLeast"/>
        <w:tabs>
          <w:tab w:val="right" w:pos="10488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16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709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2.2. за счет средств, выделенных на исполнение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 полномочий, -</w:t>
      </w:r>
      <w:r>
        <w:rPr>
          <w:sz w:val="28"/>
          <w:szCs w:val="28"/>
        </w:rPr>
        <w:t xml:space="preserve"> кассовое исполнение составляет </w:t>
      </w:r>
      <w:r>
        <w:rPr>
          <w:b/>
          <w:bCs/>
          <w:sz w:val="28"/>
          <w:szCs w:val="28"/>
        </w:rPr>
        <w:t xml:space="preserve">15 775 523,3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99,9 %</w:t>
      </w:r>
      <w:r>
        <w:rPr>
          <w:sz w:val="28"/>
          <w:szCs w:val="28"/>
        </w:rPr>
        <w:t xml:space="preserve">                    от годовых ассигнований (15 784 546,2 тыс. руб.). Исполнение расходов за 2023 год составляло 13 650 525,1 тыс. руб., или </w:t>
      </w:r>
      <w:r>
        <w:rPr>
          <w:b/>
          <w:sz w:val="28"/>
          <w:szCs w:val="28"/>
        </w:rPr>
        <w:t xml:space="preserve">99,7 %</w:t>
      </w:r>
      <w:r>
        <w:rPr>
          <w:sz w:val="28"/>
          <w:szCs w:val="28"/>
        </w:rPr>
        <w:t xml:space="preserve"> от годовых ассигнований.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spacing w:line="240" w:lineRule="atLeast"/>
        <w:rPr>
          <w:sz w:val="28"/>
          <w:szCs w:val="28"/>
        </w:rPr>
      </w:pPr>
      <w:r>
        <w:rPr>
          <w:b/>
          <w:sz w:val="28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sz w:val="28"/>
          <w:szCs w:val="28"/>
        </w:rPr>
        <w:t xml:space="preserve">кассовое исполнение составляет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9 401 122,8                      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93,9 % </w:t>
      </w:r>
      <w:r>
        <w:rPr>
          <w:sz w:val="28"/>
          <w:szCs w:val="28"/>
        </w:rPr>
        <w:t xml:space="preserve">от годовых ассигнований (10 015 944,0 тыс. руб.). Исполнение расходов за 2023 год составляло 13 998 230,9 тыс. руб., или </w:t>
      </w:r>
      <w:r>
        <w:rPr>
          <w:b/>
          <w:sz w:val="28"/>
          <w:szCs w:val="28"/>
        </w:rPr>
        <w:t xml:space="preserve">93,2 % </w:t>
      </w:r>
      <w:r>
        <w:rPr>
          <w:sz w:val="28"/>
          <w:szCs w:val="28"/>
        </w:rPr>
        <w:t xml:space="preserve">от годовых ассигнований.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tLeast"/>
      </w:pPr>
      <w:r/>
      <w:r/>
    </w:p>
    <w:p>
      <w:pPr>
        <w:ind w:firstLine="709"/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Расходная часть бюджета за 2024 год по источникам финансирования в разрезе главных распорядителей бюджетных средств исполнена следующим образом.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2.1. Исполнение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расходов местного бюджета: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финансов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градостроительства и архитектуры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культуры и молодежной политики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контрольным департаментом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99,982 %;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</w:t>
      </w:r>
      <w:r>
        <w:rPr>
          <w:sz w:val="28"/>
          <w:szCs w:val="28"/>
        </w:rPr>
        <w:t xml:space="preserve">–счетной палатой города – на уровне 99,978 %;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департаментом земельных отношений – на уровне 99,94 %;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– на уровне 99,86 %;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Кировского района – на уровне 99,84 %;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99,83 %;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департаментом социальной политики – на уровне 99,7 %;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Мотовилихинского района – на уровне 99,58 %;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 xml:space="preserve">администрацией Индустриального района – на уровне 99,57 %;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комитетом по физической культуре и спорту – на уровне 99,45 %;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Ленинского района – на уровне 99,39 %;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экономики и промышленной политики – на уровне 99,3 %;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Свердловского района – на уровне 98,9 %;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– на уровне 98,6 %;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имущественных отношений – на уровне 97,0 %;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Думой – на уровне 96,3 %;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95,6 %;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дорог и благоустройства – на уровне 95,5 %;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транспорта – на уровне 95,4 %;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Дзержинского района – на уровне 95,2 %;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 w:firstLine="349"/>
        <w:spacing w:line="240" w:lineRule="auto"/>
        <w:rPr>
          <w:sz w:val="28"/>
          <w:szCs w:val="28"/>
        </w:rPr>
      </w:pPr>
      <w:r>
        <w:rPr>
          <w:b/>
          <w:sz w:val="28"/>
        </w:rPr>
        <w:t xml:space="preserve">ниже уровня 95 % </w:t>
      </w:r>
      <w:r>
        <w:rPr>
          <w:sz w:val="28"/>
          <w:szCs w:val="28"/>
        </w:rPr>
        <w:t xml:space="preserve">сложилось исполнение у следующих главных распорядителей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жилищных отношений – на уровне 94,8 %;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88,8 %;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 – на уровне 71,2 %;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управления капитального строительства – на уровне 60,2 %.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записи актов гражданского состояния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Мотовилихинского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Индустриального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департаментом дорог и благоустройства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транспорта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контрольным департаментом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100,0 %;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spacing w:line="240" w:lineRule="auto"/>
        <w:rPr>
          <w:b/>
          <w:bCs/>
        </w:rPr>
      </w:pPr>
      <w:r>
        <w:rPr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99,97 %;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по экологии и природопользованию – на уровне 99,96 %;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администрацией Кировского района – на уровне 99,944 %;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Дзержинского района – на уровне 99,941 %;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администрацией Ленинского района – на уровне 99,8 %;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департаментом социальной политики – на уровне 99,4 %;</w:t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b/>
        </w:rPr>
      </w:pPr>
      <w:r>
        <w:rPr>
          <w:sz w:val="28"/>
          <w:szCs w:val="28"/>
        </w:rPr>
        <w:t xml:space="preserve">управлением жилищных отношений – на уровне 99,0 %;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Свердловского района – на уровне 98,6 %;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spacing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ind w:left="360" w:firstLine="349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34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департамента жилищно-коммунального хозяйства – на уровне 75,8 %.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2.3. Исполнение расходов по средствам, переданным из краевого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выполнение полномочий городского округа: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left="360" w:firstLine="34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записи актов гражданского состояния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ind w:left="357" w:hanging="357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культуры и молодежной политики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2"/>
        <w:numPr>
          <w:ilvl w:val="0"/>
          <w:numId w:val="30"/>
        </w:numPr>
        <w:ind w:left="357" w:hanging="357"/>
        <w:spacing w:after="0" w:line="240" w:lineRule="atLeas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 Ленинского района – на уровне 100,0 %;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Свердловского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Мотовилихинского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Дзержинского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администрацией Индустриального района – на уровне 100,0 %;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транспорта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100,0 %;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– на уровне</w:t>
      </w:r>
      <w:r>
        <w:t xml:space="preserve"> </w:t>
      </w:r>
      <w:r>
        <w:rPr>
          <w:sz w:val="28"/>
          <w:szCs w:val="28"/>
        </w:rPr>
        <w:t xml:space="preserve">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департаментом земельных отношений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99,99 %;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Кировского района – на уровне 99,8 %;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управлением капитального строительства – на уровне 97,9 %;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 w:firstLine="34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департамента социальной политики – на уровне 94,1 %;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и спорту – на уровне 91,2 %;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департамента дорог и благоустройства – на уровне 90,8 %;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2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управления по экологии и природопользованию – на уровне 72,6 %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жилищных отношений – на уровне 68,1 %;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 - на уровне 61,9 %.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8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rPr>
        <w:rStyle w:val="965"/>
        <w:sz w:val="23"/>
        <w:szCs w:val="23"/>
      </w:rPr>
      <w:framePr w:wrap="around" w:vAnchor="text" w:hAnchor="margin" w:xAlign="right" w:y="1"/>
    </w:pPr>
    <w:r>
      <w:rPr>
        <w:rStyle w:val="965"/>
        <w:sz w:val="23"/>
        <w:szCs w:val="23"/>
      </w:rPr>
      <w:fldChar w:fldCharType="begin"/>
    </w:r>
    <w:r>
      <w:rPr>
        <w:rStyle w:val="965"/>
        <w:sz w:val="23"/>
        <w:szCs w:val="23"/>
      </w:rPr>
      <w:instrText xml:space="preserve">PAGE  </w:instrText>
    </w:r>
    <w:r>
      <w:rPr>
        <w:rStyle w:val="965"/>
        <w:sz w:val="23"/>
        <w:szCs w:val="23"/>
      </w:rPr>
      <w:fldChar w:fldCharType="end"/>
    </w:r>
    <w:r>
      <w:rPr>
        <w:rStyle w:val="965"/>
        <w:sz w:val="23"/>
        <w:szCs w:val="23"/>
      </w:rPr>
    </w:r>
    <w:r>
      <w:rPr>
        <w:rStyle w:val="965"/>
        <w:sz w:val="23"/>
        <w:szCs w:val="23"/>
      </w:rPr>
    </w:r>
  </w:p>
  <w:p>
    <w:pPr>
      <w:pStyle w:val="814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9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7"/>
  </w:num>
  <w:num w:numId="5">
    <w:abstractNumId w:val="38"/>
  </w:num>
  <w:num w:numId="6">
    <w:abstractNumId w:val="16"/>
  </w:num>
  <w:num w:numId="7">
    <w:abstractNumId w:val="33"/>
  </w:num>
  <w:num w:numId="8">
    <w:abstractNumId w:val="25"/>
  </w:num>
  <w:num w:numId="9">
    <w:abstractNumId w:val="2"/>
  </w:num>
  <w:num w:numId="10">
    <w:abstractNumId w:val="23"/>
  </w:num>
  <w:num w:numId="11">
    <w:abstractNumId w:val="14"/>
  </w:num>
  <w:num w:numId="12">
    <w:abstractNumId w:val="37"/>
  </w:num>
  <w:num w:numId="13">
    <w:abstractNumId w:val="29"/>
  </w:num>
  <w:num w:numId="14">
    <w:abstractNumId w:val="22"/>
  </w:num>
  <w:num w:numId="15">
    <w:abstractNumId w:val="4"/>
  </w:num>
  <w:num w:numId="16">
    <w:abstractNumId w:val="0"/>
  </w:num>
  <w:num w:numId="17">
    <w:abstractNumId w:val="1"/>
  </w:num>
  <w:num w:numId="18">
    <w:abstractNumId w:val="9"/>
  </w:num>
  <w:num w:numId="19">
    <w:abstractNumId w:val="5"/>
  </w:num>
  <w:num w:numId="20">
    <w:abstractNumId w:val="28"/>
  </w:num>
  <w:num w:numId="21">
    <w:abstractNumId w:val="6"/>
  </w:num>
  <w:num w:numId="22">
    <w:abstractNumId w:val="36"/>
  </w:num>
  <w:num w:numId="23">
    <w:abstractNumId w:val="34"/>
  </w:num>
  <w:num w:numId="24">
    <w:abstractNumId w:val="20"/>
  </w:num>
  <w:num w:numId="25">
    <w:abstractNumId w:val="21"/>
  </w:num>
  <w:num w:numId="26">
    <w:abstractNumId w:val="35"/>
  </w:num>
  <w:num w:numId="27">
    <w:abstractNumId w:val="17"/>
  </w:num>
  <w:num w:numId="28">
    <w:abstractNumId w:val="10"/>
  </w:num>
  <w:num w:numId="29">
    <w:abstractNumId w:val="13"/>
  </w:num>
  <w:num w:numId="30">
    <w:abstractNumId w:val="18"/>
  </w:num>
  <w:num w:numId="31">
    <w:abstractNumId w:val="31"/>
  </w:num>
  <w:num w:numId="32">
    <w:abstractNumId w:val="27"/>
  </w:num>
  <w:num w:numId="33">
    <w:abstractNumId w:val="3"/>
  </w:num>
  <w:num w:numId="34">
    <w:abstractNumId w:val="32"/>
  </w:num>
  <w:num w:numId="35">
    <w:abstractNumId w:val="26"/>
  </w:num>
  <w:num w:numId="36">
    <w:abstractNumId w:val="11"/>
  </w:num>
  <w:num w:numId="37">
    <w:abstractNumId w:val="30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67">
    <w:name w:val="Heading 1"/>
    <w:basedOn w:val="766"/>
    <w:next w:val="766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8">
    <w:name w:val="Heading 2"/>
    <w:basedOn w:val="766"/>
    <w:next w:val="766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next w:val="766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next w:val="766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next w:val="766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2">
    <w:name w:val="Heading 6"/>
    <w:basedOn w:val="766"/>
    <w:next w:val="766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next w:val="766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next w:val="766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next w:val="766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81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Title Char"/>
    <w:basedOn w:val="776"/>
    <w:uiPriority w:val="10"/>
    <w:rPr>
      <w:sz w:val="48"/>
      <w:szCs w:val="48"/>
    </w:rPr>
  </w:style>
  <w:style w:type="character" w:styleId="789" w:customStyle="1">
    <w:name w:val="Subtitle Char"/>
    <w:basedOn w:val="776"/>
    <w:uiPriority w:val="11"/>
    <w:rPr>
      <w:sz w:val="24"/>
      <w:szCs w:val="24"/>
    </w:rPr>
  </w:style>
  <w:style w:type="character" w:styleId="790" w:customStyle="1">
    <w:name w:val="Quote Char"/>
    <w:uiPriority w:val="29"/>
    <w:rPr>
      <w:i/>
    </w:rPr>
  </w:style>
  <w:style w:type="character" w:styleId="791" w:customStyle="1">
    <w:name w:val="Intense Quote Char"/>
    <w:uiPriority w:val="30"/>
    <w:rPr>
      <w:i/>
    </w:rPr>
  </w:style>
  <w:style w:type="character" w:styleId="792" w:customStyle="1">
    <w:name w:val="Header Char"/>
    <w:basedOn w:val="776"/>
    <w:uiPriority w:val="99"/>
  </w:style>
  <w:style w:type="character" w:styleId="793" w:customStyle="1">
    <w:name w:val="Заголовок 1 Знак"/>
    <w:link w:val="767"/>
    <w:uiPriority w:val="9"/>
    <w:rPr>
      <w:rFonts w:ascii="Arial" w:hAnsi="Arial" w:eastAsia="Arial" w:cs="Arial"/>
      <w:sz w:val="40"/>
      <w:szCs w:val="40"/>
    </w:rPr>
  </w:style>
  <w:style w:type="character" w:styleId="794" w:customStyle="1">
    <w:name w:val="Заголовок 2 Знак"/>
    <w:link w:val="768"/>
    <w:uiPriority w:val="9"/>
    <w:rPr>
      <w:rFonts w:ascii="Arial" w:hAnsi="Arial" w:eastAsia="Arial" w:cs="Arial"/>
      <w:sz w:val="34"/>
    </w:rPr>
  </w:style>
  <w:style w:type="character" w:styleId="795" w:customStyle="1">
    <w:name w:val="Заголовок 3 Знак"/>
    <w:link w:val="769"/>
    <w:uiPriority w:val="9"/>
    <w:rPr>
      <w:rFonts w:ascii="Arial" w:hAnsi="Arial" w:eastAsia="Arial" w:cs="Arial"/>
      <w:sz w:val="30"/>
      <w:szCs w:val="30"/>
    </w:rPr>
  </w:style>
  <w:style w:type="character" w:styleId="796" w:customStyle="1">
    <w:name w:val="Заголовок 4 Знак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97" w:customStyle="1">
    <w:name w:val="Заголовок 5 Знак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98" w:customStyle="1">
    <w:name w:val="Заголовок 6 Знак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99" w:customStyle="1">
    <w:name w:val="Заголовок 7 Знак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0" w:customStyle="1">
    <w:name w:val="Заголовок 8 Знак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801" w:customStyle="1">
    <w:name w:val="Заголовок 9 Знак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List Paragraph"/>
    <w:basedOn w:val="766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03">
    <w:name w:val="No Spacing"/>
    <w:uiPriority w:val="1"/>
    <w:qFormat/>
  </w:style>
  <w:style w:type="paragraph" w:styleId="804">
    <w:name w:val="Title"/>
    <w:basedOn w:val="766"/>
    <w:next w:val="766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Заголовок Знак"/>
    <w:link w:val="804"/>
    <w:uiPriority w:val="10"/>
    <w:rPr>
      <w:sz w:val="48"/>
      <w:szCs w:val="48"/>
    </w:rPr>
  </w:style>
  <w:style w:type="paragraph" w:styleId="806">
    <w:name w:val="Subtitle"/>
    <w:basedOn w:val="766"/>
    <w:next w:val="766"/>
    <w:link w:val="807"/>
    <w:uiPriority w:val="11"/>
    <w:qFormat/>
    <w:pPr>
      <w:spacing w:before="200" w:after="200"/>
    </w:pPr>
  </w:style>
  <w:style w:type="character" w:styleId="807" w:customStyle="1">
    <w:name w:val="Подзаголовок Знак"/>
    <w:link w:val="806"/>
    <w:uiPriority w:val="11"/>
    <w:rPr>
      <w:sz w:val="24"/>
      <w:szCs w:val="24"/>
    </w:rPr>
  </w:style>
  <w:style w:type="paragraph" w:styleId="808">
    <w:name w:val="Quote"/>
    <w:basedOn w:val="766"/>
    <w:next w:val="766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66"/>
    <w:next w:val="766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paragraph" w:styleId="812">
    <w:name w:val="Header"/>
    <w:basedOn w:val="766"/>
    <w:link w:val="813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3" w:customStyle="1">
    <w:name w:val="Верхний колонтитул Знак"/>
    <w:link w:val="812"/>
    <w:uiPriority w:val="99"/>
  </w:style>
  <w:style w:type="paragraph" w:styleId="814">
    <w:name w:val="Footer"/>
    <w:basedOn w:val="766"/>
    <w:link w:val="964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15" w:customStyle="1">
    <w:name w:val="Footer Char"/>
    <w:uiPriority w:val="99"/>
  </w:style>
  <w:style w:type="paragraph" w:styleId="816">
    <w:name w:val="Caption"/>
    <w:basedOn w:val="766"/>
    <w:next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 w:customStyle="1">
    <w:name w:val="Caption Char"/>
    <w:uiPriority w:val="99"/>
  </w:style>
  <w:style w:type="table" w:styleId="8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paragraph" w:styleId="945">
    <w:name w:val="footnote text"/>
    <w:basedOn w:val="766"/>
    <w:link w:val="976"/>
    <w:uiPriority w:val="99"/>
    <w:semiHidden/>
    <w:unhideWhenUsed/>
    <w:rPr>
      <w:sz w:val="20"/>
      <w:szCs w:val="20"/>
    </w:rPr>
  </w:style>
  <w:style w:type="character" w:styleId="946" w:customStyle="1">
    <w:name w:val="Footnote Text Char"/>
    <w:uiPriority w:val="99"/>
    <w:rPr>
      <w:sz w:val="18"/>
    </w:rPr>
  </w:style>
  <w:style w:type="character" w:styleId="947">
    <w:name w:val="footnote reference"/>
    <w:uiPriority w:val="99"/>
    <w:semiHidden/>
    <w:unhideWhenUsed/>
    <w:rPr>
      <w:vertAlign w:val="superscript"/>
    </w:rPr>
  </w:style>
  <w:style w:type="paragraph" w:styleId="948">
    <w:name w:val="endnote text"/>
    <w:basedOn w:val="766"/>
    <w:link w:val="975"/>
    <w:uiPriority w:val="99"/>
    <w:semiHidden/>
    <w:unhideWhenUsed/>
    <w:rPr>
      <w:sz w:val="20"/>
      <w:szCs w:val="20"/>
    </w:rPr>
  </w:style>
  <w:style w:type="character" w:styleId="949" w:customStyle="1">
    <w:name w:val="Endnote Text Char"/>
    <w:uiPriority w:val="99"/>
    <w:rPr>
      <w:sz w:val="20"/>
    </w:rPr>
  </w:style>
  <w:style w:type="character" w:styleId="950">
    <w:name w:val="endnote reference"/>
    <w:uiPriority w:val="99"/>
    <w:semiHidden/>
    <w:unhideWhenUsed/>
    <w:rPr>
      <w:vertAlign w:val="superscript"/>
    </w:rPr>
  </w:style>
  <w:style w:type="paragraph" w:styleId="951">
    <w:name w:val="toc 1"/>
    <w:basedOn w:val="766"/>
    <w:next w:val="766"/>
    <w:uiPriority w:val="39"/>
    <w:unhideWhenUsed/>
    <w:pPr>
      <w:spacing w:after="57"/>
    </w:pPr>
  </w:style>
  <w:style w:type="paragraph" w:styleId="952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53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54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55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56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57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58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59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766"/>
    <w:next w:val="766"/>
    <w:uiPriority w:val="99"/>
    <w:unhideWhenUsed/>
  </w:style>
  <w:style w:type="paragraph" w:styleId="962">
    <w:name w:val="Body Text Indent"/>
    <w:basedOn w:val="766"/>
    <w:link w:val="963"/>
    <w:pPr>
      <w:ind w:firstLine="720"/>
      <w:spacing w:line="360" w:lineRule="auto"/>
    </w:pPr>
    <w:rPr>
      <w:sz w:val="28"/>
      <w:szCs w:val="20"/>
      <w:lang w:val="en-US"/>
    </w:rPr>
  </w:style>
  <w:style w:type="character" w:styleId="963" w:customStyle="1">
    <w:name w:val="Основной текст с отступом Знак"/>
    <w:link w:val="96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4" w:customStyle="1">
    <w:name w:val="Нижний колонтитул Знак"/>
    <w:link w:val="8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5">
    <w:name w:val="page number"/>
    <w:basedOn w:val="776"/>
  </w:style>
  <w:style w:type="paragraph" w:styleId="966">
    <w:name w:val="Body Text Indent 2"/>
    <w:basedOn w:val="766"/>
    <w:link w:val="967"/>
    <w:pPr>
      <w:ind w:firstLine="720"/>
    </w:pPr>
    <w:rPr>
      <w:b/>
      <w:sz w:val="32"/>
      <w:szCs w:val="32"/>
      <w:lang w:val="en-US"/>
    </w:rPr>
  </w:style>
  <w:style w:type="character" w:styleId="967" w:customStyle="1">
    <w:name w:val="Основной текст с отступом 2 Знак"/>
    <w:link w:val="966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968">
    <w:name w:val="Balloon Text"/>
    <w:basedOn w:val="766"/>
    <w:link w:val="969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969" w:customStyle="1">
    <w:name w:val="Текст выноски Знак"/>
    <w:link w:val="9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70" w:customStyle="1">
    <w:name w:val="Верхний колонтитул;Знак"/>
    <w:basedOn w:val="766"/>
    <w:link w:val="97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71" w:customStyle="1">
    <w:name w:val="Верхний колонтитул Знак;Знак Знак1"/>
    <w:link w:val="9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>
    <w:name w:val="Body Text"/>
    <w:basedOn w:val="766"/>
    <w:link w:val="973"/>
    <w:uiPriority w:val="99"/>
    <w:unhideWhenUsed/>
    <w:pPr>
      <w:spacing w:after="120"/>
    </w:pPr>
  </w:style>
  <w:style w:type="character" w:styleId="973" w:customStyle="1">
    <w:name w:val="Основной текст Знак"/>
    <w:link w:val="972"/>
    <w:uiPriority w:val="99"/>
    <w:rPr>
      <w:rFonts w:ascii="Times New Roman" w:hAnsi="Times New Roman" w:eastAsia="Times New Roman"/>
      <w:sz w:val="24"/>
      <w:szCs w:val="24"/>
    </w:rPr>
  </w:style>
  <w:style w:type="paragraph" w:styleId="974" w:customStyle="1">
    <w:name w:val="Исполнитель"/>
    <w:basedOn w:val="972"/>
    <w:pPr>
      <w:jc w:val="left"/>
      <w:spacing w:line="240" w:lineRule="exact"/>
      <w:widowControl/>
    </w:pPr>
    <w:rPr>
      <w:szCs w:val="20"/>
    </w:rPr>
  </w:style>
  <w:style w:type="character" w:styleId="975" w:customStyle="1">
    <w:name w:val="Текст концевой сноски Знак"/>
    <w:link w:val="948"/>
    <w:uiPriority w:val="99"/>
    <w:semiHidden/>
    <w:rPr>
      <w:rFonts w:ascii="Times New Roman" w:hAnsi="Times New Roman" w:eastAsia="Times New Roman"/>
    </w:rPr>
  </w:style>
  <w:style w:type="character" w:styleId="976" w:customStyle="1">
    <w:name w:val="Текст сноски Знак"/>
    <w:link w:val="945"/>
    <w:uiPriority w:val="99"/>
    <w:semiHidden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Департамент финансов админситрации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447</cp:revision>
  <dcterms:created xsi:type="dcterms:W3CDTF">2024-07-10T10:00:00Z</dcterms:created>
  <dcterms:modified xsi:type="dcterms:W3CDTF">2025-03-13T07:08:37Z</dcterms:modified>
  <cp:version>983040</cp:version>
</cp:coreProperties>
</file>