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aps/>
          <w:sz w:val="32"/>
          <w:szCs w:val="32"/>
        </w:rPr>
        <w:t xml:space="preserve">ОПЕРАТИВНЫЙ АНАЛИЗ Исполнения бюджета</w:t>
      </w:r>
      <w:r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caps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aps/>
          <w:sz w:val="32"/>
          <w:szCs w:val="32"/>
        </w:rPr>
        <w:t xml:space="preserve">города Перми ЗА</w:t>
      </w:r>
      <w:r>
        <w:rPr>
          <w:rFonts w:ascii="Times New Roman" w:hAnsi="Times New Roman" w:eastAsia="Times New Roman" w:cs="Times New Roman"/>
          <w:b/>
          <w:caps/>
          <w:sz w:val="32"/>
          <w:szCs w:val="32"/>
        </w:rPr>
        <w:t xml:space="preserve"> 2025 год</w:t>
      </w:r>
      <w:r>
        <w:rPr>
          <w:rFonts w:ascii="Times New Roman" w:hAnsi="Times New Roman" w:cs="Times New Roman"/>
          <w:b/>
          <w:bCs/>
          <w:cap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caps/>
          <w:sz w:val="32"/>
          <w:szCs w:val="3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ap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caps/>
          <w:sz w:val="32"/>
          <w:szCs w:val="32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aps/>
          <w:sz w:val="32"/>
          <w:szCs w:val="32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бюджета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2025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оперативным данным характеризуется следующими показателями: </w:t>
      </w:r>
      <w:r>
        <w:rPr>
          <w:rFonts w:ascii="Times New Roman" w:hAnsi="Times New Roman" w:eastAsia="Times New Roman" w:cs="Times New Roman"/>
          <w:sz w:val="16"/>
          <w:szCs w:val="16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ab/>
        <w:t xml:space="preserve">по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доходам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white"/>
        </w:rPr>
        <w:t xml:space="preserve">61 477 837,1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руб.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white"/>
        </w:rPr>
        <w:t xml:space="preserve">103,1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%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к утвержденному плану 2025 года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(59 614 400,0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Поступления доходов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2024 год составляли                    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57 803 119,3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40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пос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тупления доходо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бюджета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 и 2025 годы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приведен                             в следующей таблице: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afterAutospacing="0" w:line="240" w:lineRule="auto"/>
        <w:tabs>
          <w:tab w:val="left" w:pos="-180" w:leader="none"/>
        </w:tabs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2"/>
          <w:szCs w:val="22"/>
          <w:highlight w:val="white"/>
        </w:rPr>
        <w:t xml:space="preserve">(тыс.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2"/>
          <w:szCs w:val="22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2"/>
          <w:szCs w:val="22"/>
          <w:highlight w:val="white"/>
        </w:rPr>
        <w:t xml:space="preserve">руб.)</w:t>
      </w:r>
      <w:r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none"/>
        </w:rPr>
      </w:r>
    </w:p>
    <w:tbl>
      <w:tblPr>
        <w:tblW w:w="10248" w:type="dxa"/>
        <w:jc w:val="center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1559"/>
        <w:gridCol w:w="1559"/>
        <w:gridCol w:w="1481"/>
        <w:gridCol w:w="1319"/>
      </w:tblGrid>
      <w:tr>
        <w:tblPrEx/>
        <w:trPr>
          <w:jc w:val="center"/>
          <w:trHeight w:val="1021"/>
        </w:trPr>
        <w:tc>
          <w:tcPr>
            <w:tcBorders>
              <w:bottom w:val="single" w:color="000000" w:sz="4" w:space="0"/>
            </w:tcBorders>
            <w:tcW w:w="43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tLeast"/>
              <w:rPr>
                <w:rFonts w:ascii="Times New Roman" w:hAnsi="Times New Roman" w:cs="Times New Roman"/>
                <w:sz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</w:rPr>
              <w:t xml:space="preserve">Факт на 01.01</w:t>
            </w:r>
            <w:r>
              <w:rPr>
                <w:rFonts w:ascii="Times New Roman" w:hAnsi="Times New Roman" w:eastAsia="Times New Roman" w:cs="Times New Roman"/>
                <w:sz w:val="20"/>
                <w:szCs w:val="22"/>
              </w:rPr>
              <w:t xml:space="preserve">.2025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tLeast"/>
              <w:rPr>
                <w:rFonts w:ascii="Times New Roman" w:hAnsi="Times New Roman" w:cs="Times New Roman"/>
                <w:sz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</w:rPr>
              <w:t xml:space="preserve">Факт на 01.01</w:t>
            </w:r>
            <w:r>
              <w:rPr>
                <w:rFonts w:ascii="Times New Roman" w:hAnsi="Times New Roman" w:eastAsia="Times New Roman" w:cs="Times New Roman"/>
                <w:sz w:val="20"/>
                <w:szCs w:val="22"/>
              </w:rPr>
              <w:t xml:space="preserve">.2026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тклонение поступлений 2025 года от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Отношение поступлений 2025 года к 2024 году, 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65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3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Налоговые и неналоговые доходы,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31 406 540,7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34 574 960,7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3 168 420,0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110,1%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30" w:type="dxa"/>
            <w:vAlign w:val="center"/>
            <w:textDirection w:val="lrTb"/>
            <w:noWrap w:val="false"/>
          </w:tcPr>
          <w:p>
            <w:pPr>
              <w:contextualSpacing w:val="0"/>
              <w:ind w:firstLine="176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23 514 452,8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26 592 034,0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3 077 581,2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113,1%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30" w:type="dxa"/>
            <w:vAlign w:val="center"/>
            <w:textDirection w:val="lrTb"/>
            <w:noWrap w:val="false"/>
          </w:tcPr>
          <w:p>
            <w:pPr>
              <w:contextualSpacing w:val="0"/>
              <w:ind w:firstLine="176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7 892 087,9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7 982 926,7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90 838,8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101,2%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</w:tr>
      <w:tr>
        <w:tblPrEx/>
        <w:trPr>
          <w:jc w:val="center"/>
          <w:trHeight w:val="69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3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26 396 578,6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26 902 876,4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506 297,8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after="0"/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101,9%</w:t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2"/>
                <w:szCs w:val="22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30" w:type="dxa"/>
            <w:vAlign w:val="bottom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57 803 119,3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61 477 837,1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vAlign w:val="bottom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3 674 717,8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vAlign w:val="bottom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106,4%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</w:tr>
    </w:tbl>
    <w:p>
      <w:pPr>
        <w:contextualSpacing w:val="0"/>
        <w:ind w:firstLine="709"/>
        <w:jc w:val="both"/>
        <w:spacing w:after="0" w:afterAutospacing="0" w:line="240" w:lineRule="auto"/>
        <w:tabs>
          <w:tab w:val="left" w:pos="-180" w:leader="none"/>
        </w:tabs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2"/>
          <w:szCs w:val="22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связи с изменениями с 2025 года норматива зачисления налога на доходы физических лиц, в настоящем анализе объем доходов бюджета 2024 года приведен              в сопоставимые условия (норматив по НДФЛ – 30,0 %).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tLeast"/>
        <w:tabs>
          <w:tab w:val="left" w:pos="79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по расходам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сумме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65 125 821,6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 руб., или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94,4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%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ассигнований 2025 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68 968 618,3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тыс. руб.).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ассовый расход за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56 735 541,0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руб., или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95,1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годовых ассигнований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tLeast"/>
        <w:tabs>
          <w:tab w:val="left" w:pos="7938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left"/>
        <w:spacing w:before="0" w:after="0" w:line="240" w:lineRule="auto"/>
        <w:rPr>
          <w:rFonts w:ascii="Times New Roman" w:hAnsi="Times New Roman" w:cs="Times New Roman"/>
          <w:b/>
          <w:sz w:val="12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Кассовые выплаты по расходам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 год превысили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поступления по доходам на сумму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3 647 984,5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12"/>
          <w:szCs w:val="28"/>
        </w:rPr>
      </w:r>
      <w:r>
        <w:rPr>
          <w:rFonts w:ascii="Times New Roman" w:hAnsi="Times New Roman" w:cs="Times New Roman"/>
          <w:b/>
          <w:sz w:val="12"/>
          <w:szCs w:val="28"/>
        </w:rPr>
      </w:r>
    </w:p>
    <w:p>
      <w:pPr>
        <w:contextualSpacing w:val="0"/>
        <w:ind w:firstLine="0"/>
        <w:jc w:val="left"/>
        <w:spacing w:line="240" w:lineRule="auto"/>
        <w:tabs>
          <w:tab w:val="left" w:pos="-180" w:leader="none"/>
        </w:tabs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yellow"/>
        </w:rPr>
      </w:r>
    </w:p>
    <w:p>
      <w:pPr>
        <w:pStyle w:val="938"/>
        <w:numPr>
          <w:ilvl w:val="0"/>
          <w:numId w:val="53"/>
        </w:num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aps/>
          <w:strike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aps/>
          <w:strike w:val="0"/>
          <w:color w:val="000000" w:themeColor="text1"/>
          <w:sz w:val="28"/>
          <w:szCs w:val="28"/>
          <w:highlight w:val="white"/>
        </w:rPr>
        <w:t xml:space="preserve">ИСПОЛНЕНИЕ БЮД</w:t>
      </w:r>
      <w:r>
        <w:rPr>
          <w:rFonts w:ascii="Times New Roman" w:hAnsi="Times New Roman" w:eastAsia="Times New Roman" w:cs="Times New Roman"/>
          <w:b/>
          <w:caps/>
          <w:strike w:val="0"/>
          <w:color w:val="000000" w:themeColor="text1"/>
          <w:sz w:val="28"/>
          <w:szCs w:val="28"/>
          <w:highlight w:val="white"/>
        </w:rPr>
        <w:t xml:space="preserve">ЖЕТА ПО ДОХОДАМ</w:t>
      </w:r>
      <w:r>
        <w:rPr>
          <w:rFonts w:ascii="Times New Roman" w:hAnsi="Times New Roman" w:eastAsia="Times New Roman" w:cs="Times New Roman"/>
          <w:b/>
          <w:bCs/>
          <w:caps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aps/>
          <w:strike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aps/>
          <w:strike w:val="0"/>
          <w:color w:val="000000" w:themeColor="text1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(приложение 1 к пояснительной записке)</w:t>
      </w:r>
      <w:r>
        <w:rPr>
          <w:rFonts w:ascii="Times New Roman" w:hAnsi="Times New Roman" w:cs="Times New Roman"/>
          <w:b/>
          <w:bCs/>
          <w:caps/>
          <w:strike w:val="0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caps/>
          <w:strike w:val="0"/>
          <w:color w:val="000000" w:themeColor="text1"/>
          <w:sz w:val="26"/>
          <w:szCs w:val="26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Нал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оговые доходы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сумме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26 592 034,0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94,8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утвержденному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плану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28 065 221,0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2024 год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поступления налоговых доходов составляли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514 452,8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Неналоговые доходы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мме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7 982 926,7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102,0 %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утвержденному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7 828 489,0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руб.).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2024 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поступления неналоговых доходов составляли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7 892 087,9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Безвозмездные поступления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бюджетов других уровней поступили в сумме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26 902 876,4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ыс. руб. или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113,4 %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утвержденному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плану 2025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23 720 690,0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тыс.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2024 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поступления составляли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26 396 578,6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Анализ исполнения плана по доходам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2025 год по осно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бюджето-образующим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поступлениям выглядит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состоянию на 01.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01.2026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налога на доходы физических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19 551 219,0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91,0 %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плану года </w:t>
        <w:br/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21 478 83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2,2 тыс. руб.).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Относительно 2024 года поступления составили 109,4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ное исполнени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обусловлено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снижением темпа роста фонда заработной платы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плане 119,7 % фактический темп роста сложился в размере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109,4 %)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непоступлением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налога на доходы физических лиц с дивидендов от крупного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плательщика,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увеличением суммы возвратов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связи с предоставлением налоговых вычетов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2025 год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24,0 %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прошлого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(сум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 возвратов составила 1 594 197,9 тыс. руб).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туристическому налогу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кое поступление составило 30 778,4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   тыс. руб., или 58,1 %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плану года (52 994,3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 поступлений налога был сформирован по данным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статистической отчетности «Сведения о деятельности коллективного средства размещения» о числе дней временного проживания в средствах размещения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минимальной ставки налога.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со статьей 418.4 НК РФ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налоговой базой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стоимость услуги проживания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информация о которой на дату формирования прогноза отсутствовала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упрощенной системы налогообложения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1 216 032,7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                           или 96,6 % к плану года (1 259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409,1 тыс. руб.).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года поступления составили 106,3 %.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526 084,4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                              или  85,4 % к пл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ану года (615 839,4 тыс. руб.).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Относительно 2024 года поступления составили 164,8 %.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Неисполнение плана обусловлено ростом количества налогоплательщиков, воспользовавшихся правом уменьшения налога на сумму уплаченных страховых взносов.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4"/>
        <w:contextualSpacing w:val="0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yellow"/>
        </w:rPr>
        <w:suppressLineNumbers w:val="0"/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yellow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highlight w:val="white"/>
        </w:rPr>
        <w:t xml:space="preserve">налогу на имущество физических лиц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  <w:t xml:space="preserve">поступление составило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1 847 720,6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что составляет 124,3 % к плану года (1 486 170,1 тыс. руб.).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Относительно 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года поступления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составили 134,4 %.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Перевыполнение годового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ланового задания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бусловлено ростом налогооблагаемой базы, произошедшим в связи с проведенной переоценкой размера кадастровой стоимости объектов недвижимого имуществ, утвержденной приказом министерства по управлению имуществом и градостроительной деятельности Пермского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05.10.2023 № 31-02-1-4-1887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2 653 114,6 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 руб., что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  <w:t xml:space="preserve">составляет 108,7 % к плану года (2 439 929,8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перевы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полнение плана отчетного периода повлияло увеличение ставки земельного налога с 01.01.2025 года с 0,3 % до 1,5 % в отношении земельных участков,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занятых жилищным фондом и (или) объектами инженерной инфраструктуры жилищно-коммунального комплекса,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кадастровая стоимость которых превышает 300,0 млн. руб.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Относительно 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года поступления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составили 112,8 %.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земельных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562 946,2                           тыс. руб.,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что на 43,1 % больше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3 350,3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года поступления по данному виду дохода увеличились                    на 56,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% (на 202 433,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                 на заключение договоров аренды земельных участков на торгах.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275 275,8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93,9 %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293 156,2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прошлого года поступления по данному виду дохода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меньшились               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2 271,2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года осуществлены возвраты денежных средств                    на сумму 10 405,0 тыс. руб.;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287 670,4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что в 2,9 раза больше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лана года                 (100 194,1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заключение договоров аренды земельных участков, предназначенных для ИЖС, реализуется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превышением начальной цены реализации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на, на котором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ыло реализовано право                               на заключение договоров аренды земельных участков для строительства объектов производственного и складского назначения, состоявшегося 26 декабря 2024 года,                      в сумме 29 201,2 тыс. руб.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                             на заключение договоров аренды указанных земельных участков,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98 969,6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58,4 % к плану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(169 383,1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85 592,7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что в 1,6 раза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больше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53 573,9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 прошлого года поступления по данному виду дох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увеличились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42 458,4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еревыполнение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обусловлено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говоров аренды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13 376,9 тыс. руб., что на 88,4 % меньше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плана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(115 809,2 тыс.руб.).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Неисполнение плана обусловлено выбытием из арендного фонда земельного 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астка, распо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ложенного по адресу: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ул. Магистральная, 86б, предоставленного под строительство жилого комплекса. В июле 2025 года осуществлена государственная регистрация общедолевой собственности на объекты недвижимости, расположенные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Кроме того, запланированная в 2025 году реализация                         на аукционе права аренды земельного участка по ул. Зюкайская, 5 - Газонная, 21 перенесена на 2026 год.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81 130,2 тыс. руб., что составляет 100,2 % к плану года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80 987,0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ыс. руб.).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Относительно 2024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 поступления по данному виду дохода составили 101,2 %.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рочие доходы от использования имущества и прав, находящихся государственной и муниципаль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ной собствен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ности (за исключением имущества бюджетных и автономных учреждений, а также имущества государственных      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муниципальных унитарных предприятий, в том числе 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                  в сумме 228 984,6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123,2 % к плану года (185 836,2 тыс. руб.).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доходы по дого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  <w:u w:val="none"/>
        </w:rPr>
        <w:t xml:space="preserve">дминист-рируемые департаментом экономики и промышленной политики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141 068,1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134,7 % к плану года (104 746,7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Перевыполнение плана обусловлено, в основном,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поступлениями по итогам состоявшихся торгов.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аукцион в электронной форме на право заключения договора на размещение рекламных конструкций в отчетном периоде было выставлено 10 лотов на общую сумму начальной платы 1 273,7 тыс. руб., реализовано 6 лотов на сумму 34 782,9                     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доходы по договорам на размещение нестационарных объектов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14 907,2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134,9 % к плану года (11 046,9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платежей, а также задолженности                             по договорам на размещение нестационарных торговых объектов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находящимися в муниципальной собственности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3 818,5 тыс. 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составляет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126,6 % 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годового плана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(3 014,8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64 315,6 тыс. руб., что в 1,3 раза превышает план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086,0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плата за негативное воздействие на окружающую среду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администрируемая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Западно-Уральским межрегиональным управлением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поступила            в сумме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60 544,4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что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1,3 раза превышает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47 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7,3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Перевыполнение плана обусловлено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перечислен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иями крупнейших плательщиков                   по представленным декларациям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2024 год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сброс загрязняющих веществ                            с применением сверхлимитного повышающего коэффициента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плата за использование лесов,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администрируемая управлением по экологии      и природопользованию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поступила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771,2 тыс. руб.,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что в 1,2 раза превышает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 года (3 088,7 тыс. руб.).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Перевыполнение плана обусловлено заключением новых договоров аренды лесных участков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5 445 845,5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руб.,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96,4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% к плану 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5 651 966,4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руб.).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т реализации проездных документов отдельным категориям граждан города Перми,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635 408,5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97,2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 к плану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653 882,1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469 350,7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110,9 %                к плану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423 200,8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4 206 708,3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руб.,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93,2 % к плану года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4 515 290,6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0" w:leader="none"/>
          <w:tab w:val="left" w:pos="709" w:leader="none"/>
          <w:tab w:val="left" w:pos="90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 95,0 % от плана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Доходы от продажи земельных участков, находящихся в государственной и муниципальной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230 998,4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                              что составляет 113,9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% к плану года (202 788,7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том числе: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на которые не разграничена</w:t>
      </w: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212 292,0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104,7 % к плану года (202 788,7 тыс. руб.).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сравнению с прошлым годом поступления уменьшились на 21 317,6 тыс. 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оступление средств от продажи земельных участков носит заявительный характер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Кроме того,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 города Перми поступило 18 706,5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 незаплани-рованных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доходов от продажи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земельных участков, находящихся в собственности городских округов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Плата за увеличение площади земе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льных участков, находящихся в частной собственности, в результате перераспределения таких земельных участков                     и земель (или) земельных участков, находящихся в государственной                                или муниципальной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поступила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98 168,8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руб.,                               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101,3 % к плану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(96 901,9 тыс. руб.).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highlight w:val="white"/>
        </w:rPr>
        <w:t xml:space="preserve">собственность                    на которые не разграничена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поступили в размере 84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 420,3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87,1 % к плану года (96 901,9 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руб.).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сравнению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прошлым годом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поступления уменьшились             на 56 122,5 тыс. 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Кроме того, при отсутствии планового задания в бюджет города Перми поступило 13 748,5 тыс. руб.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платы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 увеличение площади земельных участков, находящихся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частной собственности, в результате перераспределения земельных участков, находящихся в собственности городского округа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площадью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1633,57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кв.м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Доходы от приватизации имуществ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а,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находящегос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я в собственности городских округов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поступили в размере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93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830,3 тыс. руб., что в 1,1 раза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превышает  план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(84 753,8 тыс. руб.)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Относительно 2024 года поступления по данному виду дохода составили 29,4 %.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результате реализации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муниципального имущества на торгах в порядке,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установленном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Федеральным законом от 21.12.2001 № 178-ФЗ «О приватизации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государственного и муниципального имущества»,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поступили доходы в 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/>
        <w:t xml:space="preserve">59 048,6 тыс. руб., что в 1,3 раза превышает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план года (45 675,1 тыс. руб.).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Перевыполнение плана обусловлено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реализацией долей в праве на земельные участки по цене выше запланированной.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781,7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тыс. руб.,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что составляет 90,1 %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плану года (38 597,7 тыс. руб.).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Невыполнение плана обусловлено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снижением площади арендуемого имущества, планируемого к реализации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по поступившим заявкам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рочие неналоговые доходы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оступили в сумме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237 715,0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руб.,                                что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153,7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плану года (154 615,6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rFonts w:ascii="Times New Roman" w:hAnsi="Times New Roman" w:cs="Times New Roman"/>
          <w:color w:val="000000" w:themeColor="text1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white"/>
        </w:rPr>
        <w:t xml:space="preserve">восстановител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  <w:t xml:space="preserve">ьная стоимость зеленых насаждений,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none"/>
        </w:rPr>
        <w:t xml:space="preserve"> администрируемая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none"/>
        </w:rPr>
        <w:t xml:space="preserve">управлением по экологии и природопользовани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поступила в сумме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130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988,5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               тыс. руб.,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2,6 раза превышает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план года (50 550,3 тыс. руб.)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в сфере строительства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                                      до раз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</w:t>
        <w:br/>
        <w:t xml:space="preserve">67 134,2 тыс. 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составляет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102,6 % 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годового плана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(65 450,3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left="0" w:firstLine="0"/>
        <w:jc w:val="center"/>
        <w:spacing w:before="0" w:after="0" w:line="240" w:lineRule="atLeast"/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  2.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ИСПОЛНЕНИЕ БЮДЖЕТА ПО РАСХОДАМ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contextualSpacing w:val="0"/>
        <w:ind w:firstLine="360"/>
        <w:jc w:val="center"/>
        <w:spacing w:before="0" w:after="0" w:line="240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2 к настоящей записке)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360"/>
        <w:jc w:val="center"/>
        <w:spacing w:before="0" w:after="0" w:line="240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both"/>
        <w:spacing w:before="0" w:after="0" w:line="240" w:lineRule="auto"/>
        <w:tabs>
          <w:tab w:val="left" w:pos="793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Кассов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ый расход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бюджета (без учёта зарезервированных средств: на исполнение судебных исков, резервного фонда администрации города)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 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составил                   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65 125 738,5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руб., 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94,4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%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годовых ассигнований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68 967 144,1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Исполнение по расходам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2024 год составляло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56 735 435,7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уб.,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95,2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%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годовых ассигнований.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tabs>
          <w:tab w:val="left" w:pos="793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contextualSpacing w:val="0"/>
        <w:jc w:val="both"/>
        <w:spacing w:before="0" w:after="0" w:line="240" w:lineRule="auto"/>
        <w:tabs>
          <w:tab w:val="left" w:pos="7938" w:leader="none"/>
        </w:tabs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Расходная часть бюджета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2025 год в разрезе источников финансирования исполнена следующим образом.</w:t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tabs>
          <w:tab w:val="left" w:pos="7938" w:leader="none"/>
        </w:tabs>
        <w:rPr>
          <w:rFonts w:ascii="Times New Roman" w:hAnsi="Times New Roman" w:cs="Times New Roman"/>
          <w:color w:val="1e4f79" w:themeColor="accent1" w:themeShade="80"/>
          <w:sz w:val="16"/>
          <w:szCs w:val="16"/>
        </w:rPr>
        <w:suppressLineNumbers w:val="0"/>
      </w:pPr>
      <w:r>
        <w:rPr>
          <w:rFonts w:ascii="Times New Roman" w:hAnsi="Times New Roman" w:cs="Times New Roman"/>
          <w:color w:val="auto" w:themeColor="accent1" w:themeShade="80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16"/>
          <w:szCs w:val="16"/>
        </w:rPr>
      </w:r>
      <w:r>
        <w:rPr>
          <w:rFonts w:ascii="Times New Roman" w:hAnsi="Times New Roman" w:cs="Times New Roman"/>
          <w:color w:val="1e4f79" w:themeColor="accent1" w:themeShade="80"/>
          <w:sz w:val="16"/>
          <w:szCs w:val="16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auto" w:themeColor="accent1" w:themeShade="80"/>
          <w:sz w:val="20"/>
          <w:szCs w:val="2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2.1. за счет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ёта зарезервированных средств)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кассовое исполнение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составляет</w:t>
      </w:r>
      <w:r>
        <w:rPr>
          <w:rFonts w:ascii="Times New Roman" w:hAnsi="Times New Roman" w:eastAsia="Times New Roman" w:cs="Times New Roman"/>
          <w:color w:val="auto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39 096 806,0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тыс.руб., 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94,9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%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годовых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ассигнований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41 194 629,3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Исполнение расходов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2024 год составляло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31 558 789,6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руб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                         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93,4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%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годовых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ассигнований.      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white"/>
        </w:rPr>
        <w:t xml:space="preserve">       </w:t>
      </w:r>
      <w:r>
        <w:rPr>
          <w:rFonts w:ascii="Times New Roman" w:hAnsi="Times New Roman" w:cs="Times New Roman"/>
          <w:b/>
          <w:bCs/>
          <w:color w:val="auto" w:themeColor="accent1" w:themeShade="80"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/>
          <w:color w:val="auto" w:themeColor="accent1" w:themeShade="80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right" w:pos="10488" w:leader="none"/>
        </w:tabs>
        <w:rPr>
          <w:rFonts w:ascii="Times New Roman" w:hAnsi="Times New Roman" w:cs="Times New Roman"/>
          <w:b/>
          <w:bCs/>
          <w:color w:val="1e4f79" w:themeColor="accent1" w:themeShade="80"/>
          <w:sz w:val="20"/>
          <w:szCs w:val="2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1e4f79" w:themeColor="accent1" w:themeShade="8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e4f79" w:themeColor="accent1" w:themeShade="80"/>
          <w:sz w:val="16"/>
          <w:szCs w:val="20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1e4f79" w:themeColor="accent1" w:themeShade="80"/>
          <w:sz w:val="20"/>
          <w:szCs w:val="20"/>
          <w:highlight w:val="white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1e4f79" w:themeColor="accent1" w:themeShade="80"/>
          <w:sz w:val="20"/>
          <w:szCs w:val="20"/>
          <w:highlight w:val="white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1e4f79" w:themeColor="accent1" w:themeShade="80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b/>
          <w:bCs/>
          <w:color w:val="1e4f79" w:themeColor="accent1" w:themeShade="80"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/>
          <w:color w:val="1e4f79" w:themeColor="accent1" w:themeShade="80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государственных полномочий, 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кассовое исполнение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составляет</w:t>
      </w:r>
      <w:r>
        <w:rPr>
          <w:rFonts w:ascii="Times New Roman" w:hAnsi="Times New Roman" w:eastAsia="Times New Roman" w:cs="Times New Roman"/>
          <w:color w:val="auto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17 642 008,9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тыс. руб., 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98,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%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годовых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ассигнований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17 844 452,7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Исполнение расходов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2024 год составляло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15 775 523,3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руб., 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100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годовых ассигнований. </w:t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кассовое исполнение составляет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8 386 923,6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84,5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годовых ассигновани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9 928 062,2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Исполнение расходов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2024 год составляло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9 401 122,8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тыс.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руб., или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93,9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%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годовы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х ассигнован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ий.</w:t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auto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ходная часть бюджета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2025 год по источникам финансирования в разрезе главных распорядителей бюджетных средств исполнена следующим образом.</w:t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1e4f79" w:themeColor="accent1" w:themeShade="8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 w:themeColor="accent1" w:themeShade="8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</w:rPr>
      </w:r>
      <w:r>
        <w:rPr>
          <w:rFonts w:ascii="Times New Roman" w:hAnsi="Times New Roman" w:cs="Times New Roman"/>
          <w:color w:val="1e4f79" w:themeColor="accent1" w:themeShade="80"/>
          <w:sz w:val="28"/>
          <w:szCs w:val="28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  2.1. Исполнение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расходов местного бюджета: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выше 95,0 %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обеспечено следующими главными распорядителями бюджетных средств: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управлением записи актов гражданского состояния – на уровне 100,0 %;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13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контрольно-счетной палатой 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99,95 %;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363" w:hanging="363"/>
        <w:spacing w:after="0" w:afterAutospacing="0" w:line="362" w:lineRule="atLeast"/>
        <w:tabs>
          <w:tab w:val="num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жилищных отношений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98,88 %;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9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Пермской городской Думой – на уровне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98,23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п. Новые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98,12 %;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jc w:val="left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социальной политики – на уровне 97,94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jc w:val="left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градостроительства и архитектуры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97,84 %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департаментом общественной безопасности – на уровне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97,74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%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14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Мотовилихинского района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97,72 %;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15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администрацией Кировского района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97,52 %;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администрацией Свердловского района – на уровне 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97,51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25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Индустриального района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97,38 %;</w:t>
      </w:r>
      <w:bookmarkStart w:id="0" w:name="undefined"/>
      <w:r>
        <w:rPr>
          <w:rFonts w:ascii="Times New Roman" w:hAnsi="Times New Roman" w:eastAsia="Times New Roman" w:cs="Times New Roman"/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Дзержинского района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97,32 %;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культуры и молодежной политики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96,99 %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7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Ленинского района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96,65 %;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30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комитетом по физической культуре и спорту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96,55 %;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30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администрацией Орджоникидзевского района – на уровне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4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96,48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департаментом образования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96,33 %;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23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земельных отношений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96,17 %;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19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департаментом финансов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96,11 %;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1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контрольн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департамент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96,07 %;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numPr>
          <w:ilvl w:val="0"/>
          <w:numId w:val="21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города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95,97 %;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дорог и благоустройства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95,93 %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17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экономики и промышленной политики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95,50 %;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6"/>
        </w:numPr>
        <w:ind w:left="363" w:hanging="363"/>
        <w:spacing w:after="0" w:afterAutospacing="0" w:line="362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департаментом транспорта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95,17 %;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firstLine="708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afterAutospacing="0" w:line="362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  <w:t xml:space="preserve">           ниже уровня 95,0 %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сложилось исполнение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 следующих главных распорядителей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бюджетных средств: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4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по экологии и природопользованию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92,86 %;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1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капитального строительства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 на уровне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88,68 %;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5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департамента жилищно-коммунального хозяйства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87,38 %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4"/>
        </w:num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епартамента имущественных отношений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54,25 %.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tabs>
          <w:tab w:val="num" w:pos="900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2.2. Исполнение расходов по переданным государственным полномочиям: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tabs>
          <w:tab w:val="num" w:pos="900" w:leader="none"/>
        </w:tabs>
        <w:rPr>
          <w:rFonts w:ascii="Times New Roman" w:hAnsi="Times New Roman" w:cs="Times New Roman"/>
          <w:color w:val="auto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contextualSpacing w:val="0"/>
        <w:ind w:left="0" w:firstLine="708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выше 95,0 %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чено следующими главными распорядителями бюджетных средств: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31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ем записи актов гражданского состояния – на 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100,0 %;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0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управлением по экологии и природопользованию – на уровне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7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100,0 %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numPr>
          <w:ilvl w:val="0"/>
          <w:numId w:val="32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администрацией Мотовилихинского района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33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администрацией Индустриального района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33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администрацией Кировского района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34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администрацией Орджоникидзевского района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47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департаментом дорог и благоустройства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4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департамент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транспорта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49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контрольным департаментом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3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департаментом общественной безопасности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100,0 %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51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администрацией Свердловского района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99,99 %;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numPr>
          <w:ilvl w:val="0"/>
          <w:numId w:val="37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Дзержинского района – на уровне 99,87 %;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38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Ленинского района – на уровне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99,67 %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5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п. Новые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на уровне 99,64 %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0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управлением жилищных отношений – на уровне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99,62 %;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департаментом образования – на уровне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98,85 %;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9"/>
        </w:num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комитетом по физической культуре и спорту – на уровне 97,36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0"/>
        <w:jc w:val="left"/>
        <w:spacing w:before="0" w:after="0" w:afterAutospacing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left="0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ниже 95,0 %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39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социальной политики – на уровне 93,31 %;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1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департамент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жилищно-коммунального хозяйства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69,62 %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bookmarkStart w:id="0" w:name="undefined"/>
      <w:r>
        <w:rPr>
          <w:rFonts w:ascii="Times New Roman" w:hAnsi="Times New Roman" w:eastAsia="Times New Roman" w:cs="Times New Roman"/>
          <w:color w:val="auto"/>
        </w:rPr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363" w:firstLine="345"/>
        <w:spacing w:after="0" w:afterAutospacing="0" w:line="362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2.3. Исполнение расходов по средствам, переданным из краевого бюджета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  на выполнение полномочий городского округа: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highlight w:val="yellow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</w:r>
    </w:p>
    <w:p>
      <w:pPr>
        <w:contextualSpacing w:val="0"/>
        <w:ind w:left="0" w:firstLine="708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выше 95,0 %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чено следующими главными распорядителями бюджетных средств: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42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управлени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ем записи актов гражданского состояния – на уровне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департаментом культуры и мо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лодежной политики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100,0 %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управлением капитального строительства – на уровне 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45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епартаментом транспорта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38"/>
        <w:numPr>
          <w:ilvl w:val="0"/>
          <w:numId w:val="52"/>
        </w:numPr>
        <w:ind w:left="363" w:hanging="363"/>
        <w:spacing w:after="0" w:afterAutospacing="0" w:line="362" w:lineRule="atLeast"/>
        <w:tabs>
          <w:tab w:val="clear" w:pos="360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департаментом общественной безопасности – на уровне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100,0 %;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12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министрацией города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100,0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%;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938"/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департамент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земельных отношений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100,0 %;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99,99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%;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numPr>
          <w:ilvl w:val="0"/>
          <w:numId w:val="43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жилищных отношений – на уровне 98,55 %;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епартаментом образования – на 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98,40 %;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4"/>
        </w:num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департаментом социальной политики – на уровне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97,46 %;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363" w:hanging="363"/>
        <w:jc w:val="left"/>
        <w:spacing w:before="0" w:after="0" w:afterAutospacing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left="0" w:firstLine="708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ниже 95,0 %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по экологии и природопользованию – на уровне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94,57 %;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департамента дорог и благоустройства – на уровне 71,13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%;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6"/>
        </w:numPr>
        <w:ind w:left="363" w:hanging="363"/>
        <w:spacing w:after="0" w:afterAutospacing="0" w:line="362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жилищно-коммунального хозяйства – на уровне 27,19 %.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3" w:hanging="363"/>
        <w:spacing w:after="0" w:afterAutospacing="0" w:line="36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363" w:right="0" w:hanging="363"/>
        <w:jc w:val="both"/>
        <w:spacing w:before="0" w:after="0" w:afterAutospacing="0" w:line="362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567" w:right="567" w:bottom="567" w:left="10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link w:val="776"/>
    <w:uiPriority w:val="10"/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link w:val="778"/>
    <w:uiPriority w:val="11"/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34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Header Char"/>
    <w:link w:val="784"/>
    <w:uiPriority w:val="99"/>
  </w:style>
  <w:style w:type="paragraph" w:styleId="786">
    <w:name w:val="Footer"/>
    <w:basedOn w:val="934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Footer Char"/>
    <w:link w:val="786"/>
    <w:uiPriority w:val="99"/>
  </w:style>
  <w:style w:type="paragraph" w:styleId="788">
    <w:name w:val="Caption"/>
    <w:basedOn w:val="934"/>
    <w:next w:val="9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</w:style>
  <w:style w:type="table" w:styleId="790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0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1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2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3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4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5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7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1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4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5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6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7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8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9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>
    <w:name w:val="Footnote Text Char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924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925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6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>
    <w:name w:val="No Spacing"/>
    <w:basedOn w:val="934"/>
    <w:uiPriority w:val="1"/>
    <w:qFormat/>
    <w:pPr>
      <w:spacing w:after="0" w:line="240" w:lineRule="auto"/>
    </w:pPr>
  </w:style>
  <w:style w:type="paragraph" w:styleId="938">
    <w:name w:val="List Paragraph"/>
    <w:basedOn w:val="934"/>
    <w:uiPriority w:val="34"/>
    <w:qFormat/>
    <w:pPr>
      <w:contextualSpacing/>
      <w:ind w:left="720"/>
    </w:pPr>
  </w:style>
  <w:style w:type="character" w:styleId="9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legotkina-nyu</cp:lastModifiedBy>
  <cp:revision>18</cp:revision>
  <dcterms:modified xsi:type="dcterms:W3CDTF">2026-01-22T11:18:18Z</dcterms:modified>
</cp:coreProperties>
</file>