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2"/>
        <w:jc w:val="right"/>
        <w:spacing w:line="240" w:lineRule="atLeas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942"/>
        <w:jc w:val="right"/>
        <w:spacing w:line="240" w:lineRule="atLeast"/>
        <w:rPr>
          <w:sz w:val="23"/>
          <w:szCs w:val="23"/>
        </w:rPr>
      </w:pPr>
      <w:r>
        <w:rPr>
          <w:sz w:val="23"/>
          <w:szCs w:val="23"/>
        </w:rPr>
        <w:t xml:space="preserve">к письму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942"/>
        <w:jc w:val="center"/>
        <w:spacing w:line="240" w:lineRule="auto"/>
        <w:rPr>
          <w:b/>
          <w:caps/>
          <w:sz w:val="20"/>
          <w:szCs w:val="31"/>
        </w:rPr>
      </w:pPr>
      <w:r>
        <w:rPr>
          <w:b/>
          <w:caps/>
          <w:sz w:val="20"/>
          <w:szCs w:val="31"/>
        </w:rPr>
      </w:r>
      <w:r>
        <w:rPr>
          <w:b/>
          <w:caps/>
          <w:sz w:val="20"/>
          <w:szCs w:val="31"/>
        </w:rPr>
      </w:r>
      <w:r>
        <w:rPr>
          <w:b/>
          <w:caps/>
          <w:sz w:val="20"/>
          <w:szCs w:val="31"/>
        </w:rPr>
      </w:r>
    </w:p>
    <w:p>
      <w:pPr>
        <w:pStyle w:val="942"/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pStyle w:val="942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sz w:val="32"/>
          <w:szCs w:val="32"/>
        </w:rPr>
        <w:t xml:space="preserve">города Перми </w:t>
      </w:r>
      <w:r>
        <w:rPr>
          <w:b/>
          <w:caps/>
          <w:sz w:val="32"/>
          <w:szCs w:val="32"/>
        </w:rPr>
        <w:t xml:space="preserve">на </w:t>
      </w:r>
      <w:r>
        <w:rPr>
          <w:b/>
          <w:caps/>
          <w:color w:val="auto"/>
          <w:sz w:val="32"/>
          <w:szCs w:val="32"/>
        </w:rPr>
        <w:t xml:space="preserve">1 </w:t>
      </w:r>
      <w:r>
        <w:rPr>
          <w:b/>
          <w:caps/>
          <w:color w:val="auto"/>
          <w:sz w:val="32"/>
          <w:szCs w:val="32"/>
        </w:rPr>
        <w:t xml:space="preserve">февраля </w:t>
      </w:r>
      <w:r>
        <w:rPr>
          <w:b/>
          <w:caps/>
          <w:color w:val="auto"/>
          <w:sz w:val="32"/>
          <w:szCs w:val="32"/>
        </w:rPr>
        <w:t xml:space="preserve">202</w:t>
      </w:r>
      <w:r>
        <w:rPr>
          <w:b/>
          <w:caps/>
          <w:color w:val="auto"/>
          <w:sz w:val="32"/>
          <w:szCs w:val="32"/>
        </w:rPr>
        <w:t xml:space="preserve">5 года 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pStyle w:val="942"/>
        <w:jc w:val="center"/>
        <w:spacing w:line="240" w:lineRule="auto"/>
        <w:rPr>
          <w:b/>
          <w:caps/>
          <w:color w:val="auto"/>
          <w:sz w:val="16"/>
          <w:szCs w:val="16"/>
        </w:rPr>
      </w:pPr>
      <w:r>
        <w:rPr>
          <w:b/>
          <w:caps/>
          <w:color w:val="auto"/>
          <w:sz w:val="16"/>
          <w:szCs w:val="16"/>
        </w:rPr>
      </w:r>
      <w:r>
        <w:rPr>
          <w:b/>
          <w:caps/>
          <w:color w:val="auto"/>
          <w:sz w:val="16"/>
          <w:szCs w:val="16"/>
        </w:rPr>
      </w:r>
      <w:r>
        <w:rPr>
          <w:b/>
          <w:caps/>
          <w:color w:val="auto"/>
          <w:sz w:val="16"/>
          <w:szCs w:val="16"/>
        </w:rPr>
      </w:r>
    </w:p>
    <w:p>
      <w:pPr>
        <w:pStyle w:val="942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color w:val="auto"/>
          <w:sz w:val="32"/>
          <w:szCs w:val="32"/>
        </w:rPr>
        <w:t xml:space="preserve">пояснительная записка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ind w:firstLine="567"/>
        <w:spacing w:line="240" w:lineRule="auto"/>
        <w:rPr>
          <w:color w:val="auto"/>
        </w:rPr>
      </w:pPr>
      <w:r>
        <w:rPr>
          <w:color w:val="auto"/>
          <w:szCs w:val="28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567"/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42"/>
        <w:ind w:firstLine="567"/>
        <w:spacing w:line="240" w:lineRule="auto"/>
        <w:rPr>
          <w:color w:val="auto"/>
        </w:rPr>
      </w:pPr>
      <w:r>
        <w:rPr>
          <w:color w:val="auto"/>
          <w:szCs w:val="28"/>
        </w:rPr>
      </w:r>
      <w:r>
        <w:rPr>
          <w:color w:val="auto"/>
        </w:rPr>
      </w:r>
      <w:r>
        <w:rPr>
          <w:color w:val="auto"/>
        </w:rPr>
      </w:r>
    </w:p>
    <w:p>
      <w:pPr>
        <w:pStyle w:val="942"/>
        <w:ind w:firstLine="709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бюджета города Перми по состоянию на 1 </w:t>
      </w:r>
      <w:r>
        <w:rPr>
          <w:color w:val="auto"/>
          <w:sz w:val="28"/>
          <w:szCs w:val="28"/>
        </w:rPr>
        <w:t xml:space="preserve">феврал</w:t>
      </w:r>
      <w:r>
        <w:rPr>
          <w:color w:val="auto"/>
          <w:sz w:val="28"/>
          <w:szCs w:val="28"/>
        </w:rPr>
        <w:t xml:space="preserve">я</w:t>
      </w:r>
      <w:r>
        <w:rPr>
          <w:color w:val="auto"/>
          <w:sz w:val="28"/>
          <w:szCs w:val="28"/>
        </w:rPr>
        <w:t xml:space="preserve"> 2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</w:t>
      </w:r>
      <w:r>
        <w:rPr>
          <w:color w:val="auto"/>
          <w:sz w:val="28"/>
          <w:szCs w:val="28"/>
        </w:rPr>
        <w:t xml:space="preserve">                         </w:t>
      </w:r>
      <w:r>
        <w:rPr>
          <w:color w:val="auto"/>
          <w:sz w:val="28"/>
          <w:szCs w:val="28"/>
        </w:rPr>
        <w:t xml:space="preserve">по оперативным данным характеризуется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следующими показателями:</w:t>
      </w:r>
      <w:r>
        <w:rPr>
          <w:color w:val="auto"/>
          <w:sz w:val="28"/>
          <w:szCs w:val="28"/>
        </w:rPr>
        <w:t xml:space="preserve"> </w:t>
      </w:r>
      <w:r>
        <w:rPr>
          <w:color w:val="c00000"/>
          <w:sz w:val="16"/>
          <w:szCs w:val="16"/>
        </w:rPr>
        <w:tab/>
      </w:r>
      <w:r>
        <w:rPr>
          <w:strike w:val="0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42"/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c00000"/>
          <w:sz w:val="16"/>
          <w:szCs w:val="16"/>
        </w:rPr>
        <w:tab/>
      </w:r>
      <w:r>
        <w:rPr>
          <w:b/>
          <w:color w:val="000000" w:themeColor="text1"/>
          <w:sz w:val="28"/>
          <w:szCs w:val="28"/>
        </w:rPr>
        <w:t xml:space="preserve">по доходам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сумме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2 425 018,8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</w:t>
      </w:r>
      <w:r>
        <w:rPr>
          <w:color w:val="000000" w:themeColor="text1"/>
          <w:sz w:val="28"/>
          <w:szCs w:val="28"/>
        </w:rPr>
        <w:t xml:space="preserve"> руб.</w:t>
      </w:r>
      <w:r>
        <w:rPr>
          <w:b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107,4 % </w:t>
      </w:r>
      <w:r>
        <w:rPr>
          <w:color w:val="000000" w:themeColor="text1"/>
          <w:sz w:val="28"/>
          <w:szCs w:val="28"/>
        </w:rPr>
        <w:t xml:space="preserve">от плана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ян</w:t>
      </w:r>
      <w:r>
        <w:rPr>
          <w:color w:val="000000" w:themeColor="text1"/>
          <w:sz w:val="28"/>
          <w:szCs w:val="28"/>
        </w:rPr>
        <w:t xml:space="preserve">варя</w:t>
      </w:r>
      <w:r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 xml:space="preserve">5 года (</w:t>
      </w:r>
      <w:r>
        <w:rPr>
          <w:color w:val="000000" w:themeColor="text1"/>
          <w:sz w:val="28"/>
          <w:szCs w:val="28"/>
        </w:rPr>
        <w:t xml:space="preserve">2 258 075,7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4,1 </w:t>
      </w:r>
      <w:r>
        <w:rPr>
          <w:b/>
          <w:color w:val="000000" w:themeColor="text1"/>
          <w:sz w:val="28"/>
          <w:szCs w:val="28"/>
        </w:rPr>
        <w:t xml:space="preserve">%</w:t>
      </w:r>
      <w:r>
        <w:rPr>
          <w:color w:val="000000" w:themeColor="text1"/>
          <w:sz w:val="28"/>
          <w:szCs w:val="28"/>
        </w:rPr>
        <w:t xml:space="preserve"> от уточненного</w:t>
      </w:r>
      <w:r>
        <w:rPr>
          <w:color w:val="000000" w:themeColor="text1"/>
          <w:sz w:val="28"/>
          <w:szCs w:val="28"/>
        </w:rPr>
        <w:t xml:space="preserve"> годового плана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59 141 413,6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ыс. руб.).     За аналогичный период  прошлого  года  поступления  доходов   составляли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1 591 659,9</w:t>
      </w:r>
      <w:r>
        <w:rPr>
          <w:color w:val="000000" w:themeColor="text1"/>
          <w:sz w:val="32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</w:p>
    <w:p>
      <w:pPr>
        <w:pStyle w:val="942"/>
        <w:ind w:firstLine="567"/>
        <w:spacing w:line="240" w:lineRule="atLeast"/>
        <w:rPr>
          <w:strike w:val="0"/>
          <w:color w:val="000000" w:themeColor="text1"/>
          <w:sz w:val="28"/>
          <w:szCs w:val="28"/>
        </w:rPr>
      </w:pPr>
      <w:r>
        <w:rPr>
          <w:color w:val="c00000"/>
          <w:sz w:val="16"/>
          <w:szCs w:val="16"/>
        </w:rPr>
      </w:r>
      <w:r>
        <w:rPr>
          <w:strike w:val="0"/>
          <w:color w:val="000000" w:themeColor="text1"/>
          <w:sz w:val="28"/>
          <w:szCs w:val="28"/>
        </w:rPr>
        <w:t xml:space="preserve">Анализ поступления доходов бюджета за 20</w:t>
      </w:r>
      <w:r>
        <w:rPr>
          <w:strike w:val="0"/>
          <w:color w:val="000000" w:themeColor="text1"/>
          <w:sz w:val="28"/>
          <w:szCs w:val="28"/>
        </w:rPr>
        <w:t xml:space="preserve">2</w:t>
      </w:r>
      <w:r>
        <w:rPr>
          <w:strike w:val="0"/>
          <w:color w:val="000000" w:themeColor="text1"/>
          <w:sz w:val="28"/>
          <w:szCs w:val="28"/>
        </w:rPr>
        <w:t xml:space="preserve">4 и 202</w:t>
      </w:r>
      <w:r>
        <w:rPr>
          <w:strike w:val="0"/>
          <w:color w:val="000000" w:themeColor="text1"/>
          <w:sz w:val="28"/>
          <w:szCs w:val="28"/>
        </w:rPr>
        <w:t xml:space="preserve">5 год</w:t>
      </w:r>
      <w:r>
        <w:rPr>
          <w:strike w:val="0"/>
          <w:color w:val="000000" w:themeColor="text1"/>
          <w:sz w:val="28"/>
          <w:szCs w:val="28"/>
        </w:rPr>
        <w:t xml:space="preserve">ы</w:t>
      </w:r>
      <w:r>
        <w:rPr>
          <w:strike w:val="0"/>
          <w:color w:val="000000" w:themeColor="text1"/>
          <w:sz w:val="28"/>
          <w:szCs w:val="28"/>
        </w:rPr>
        <w:t xml:space="preserve"> приведен в следующей таблице:  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567"/>
        <w:spacing w:line="240" w:lineRule="atLeast"/>
        <w:rPr>
          <w:strike w:val="0"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567"/>
        <w:jc w:val="right"/>
        <w:spacing w:line="240" w:lineRule="atLeast"/>
        <w:rPr>
          <w:strike w:val="0"/>
          <w:color w:val="000000" w:themeColor="text1"/>
          <w:sz w:val="18"/>
          <w:szCs w:val="18"/>
          <w:highlight w:val="none"/>
        </w:rPr>
      </w:pPr>
      <w:r>
        <w:rPr>
          <w:strike w:val="0"/>
          <w:color w:val="000000" w:themeColor="text1"/>
          <w:sz w:val="28"/>
          <w:szCs w:val="28"/>
        </w:rPr>
        <w:t xml:space="preserve">   </w:t>
      </w:r>
      <w:r>
        <w:rPr>
          <w:strike w:val="0"/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(тыс.руб.)</w:t>
      </w:r>
      <w:r>
        <w:rPr>
          <w:color w:val="000000" w:themeColor="text1"/>
          <w:sz w:val="18"/>
          <w:szCs w:val="18"/>
        </w:rPr>
      </w:r>
      <w:r>
        <w:rPr>
          <w:strike w:val="0"/>
          <w:color w:val="000000" w:themeColor="text1"/>
          <w:sz w:val="18"/>
          <w:szCs w:val="18"/>
          <w:highlight w:val="none"/>
        </w:rPr>
      </w:r>
    </w:p>
    <w:tbl>
      <w:tblPr>
        <w:tblW w:w="106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59"/>
        <w:gridCol w:w="1418"/>
      </w:tblGrid>
      <w:tr>
        <w:tblPrEx/>
        <w:trPr>
          <w:trHeight w:val="850"/>
        </w:trPr>
        <w:tc>
          <w:tcPr>
            <w:tcBorders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Факт на 01.02.202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Факт на 01.02.202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поступлений 2025 года от 2024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поступлений 2025 года к 2024 году,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Налоговые и неналоговые доходы, </w:t>
            </w:r>
            <w:r>
              <w:rPr>
                <w:strike w:val="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strike w:val="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1 327 090,1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1 553 022,4</w:t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225 932,3</w:t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117,0%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86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налоговые доходы*</w:t>
            </w:r>
            <w:r>
              <w:rPr>
                <w:strike w:val="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832 374,3</w:t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1 029 281,6</w:t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196 907,3</w:t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123,7%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strike w:val="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494 715,8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523 740,8</w:t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29 025,0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105,9%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strike w:val="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264 569,8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871 996,4</w:t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607 426,6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329,6%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rPr>
                <w:b/>
              </w:rPr>
            </w:pPr>
            <w:r>
              <w:rPr>
                <w:b/>
                <w:strike w:val="0"/>
              </w:rPr>
              <w:t xml:space="preserve">Всего доходов</w:t>
            </w:r>
            <w:r>
              <w:rPr>
                <w:b/>
                <w:strike w:val="0"/>
              </w:rPr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trike w:val="0"/>
              </w:rPr>
            </w:pPr>
            <w:r>
              <w:rPr>
                <w:b/>
                <w:strike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1 591 659,9</w:t>
            </w:r>
            <w:r>
              <w:rPr>
                <w:strike w:val="0"/>
              </w:rPr>
            </w:r>
            <w:r>
              <w:rPr>
                <w:strike w:val="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2 425 018,8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trike w:val="0"/>
              </w:rPr>
            </w:pPr>
            <w:r>
              <w:rPr>
                <w:b/>
                <w:strike w:val="0"/>
              </w:rPr>
            </w:r>
            <w:r>
              <w:rPr>
                <w:strike w:val="0"/>
              </w:rPr>
            </w:r>
            <w:r>
              <w:rPr>
                <w:strike w:val="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trike w:val="0"/>
              </w:rPr>
            </w:pPr>
            <w:r>
              <w:rPr>
                <w:b/>
                <w:strike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833 358,9</w:t>
            </w:r>
            <w:r>
              <w:rPr>
                <w:strike w:val="0"/>
              </w:rPr>
            </w:r>
            <w:r>
              <w:rPr>
                <w:strike w:val="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152,4%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trike w:val="0"/>
              </w:rPr>
            </w:pPr>
            <w:r>
              <w:rPr>
                <w:b/>
                <w:strike w:val="0"/>
              </w:rPr>
            </w:r>
            <w:r>
              <w:rPr>
                <w:strike w:val="0"/>
              </w:rPr>
            </w:r>
            <w:r>
              <w:rPr>
                <w:strike w:val="0"/>
              </w:rPr>
            </w:r>
          </w:p>
        </w:tc>
      </w:tr>
    </w:tbl>
    <w:p>
      <w:pPr>
        <w:ind w:firstLine="567"/>
        <w:spacing w:line="240" w:lineRule="atLeast"/>
        <w:rPr>
          <w:color w:val="c00000"/>
          <w:sz w:val="16"/>
          <w:szCs w:val="16"/>
        </w:rPr>
      </w:pPr>
      <w:r>
        <w:rPr>
          <w:strike w:val="0"/>
          <w:color w:val="000000" w:themeColor="text1"/>
          <w:sz w:val="28"/>
          <w:szCs w:val="28"/>
        </w:rPr>
        <w:t xml:space="preserve">      </w:t>
      </w:r>
      <w:r>
        <w:rPr>
          <w:color w:val="c00000"/>
          <w:sz w:val="16"/>
          <w:szCs w:val="16"/>
        </w:rPr>
      </w:r>
      <w:r>
        <w:rPr>
          <w:color w:val="c00000"/>
          <w:sz w:val="16"/>
          <w:szCs w:val="16"/>
        </w:rPr>
      </w:r>
    </w:p>
    <w:p>
      <w:pPr>
        <w:pStyle w:val="942"/>
        <w:ind w:firstLine="567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c00000"/>
          <w:sz w:val="20"/>
        </w:rPr>
        <w:t xml:space="preserve">    </w:t>
      </w:r>
      <w:r>
        <w:rPr>
          <w:rFonts w:ascii="Times New Roman" w:hAnsi="Times New Roman" w:eastAsia="Times New Roman" w:cs="Times New Roman"/>
          <w:color w:val="c00000"/>
        </w:rPr>
        <w:t xml:space="preserve">      </w:t>
      </w:r>
      <w:r>
        <w:rPr>
          <w:sz w:val="28"/>
          <w:szCs w:val="28"/>
        </w:rPr>
        <w:t xml:space="preserve"> В связи с изменениями с 2025 года </w:t>
      </w:r>
      <w:r>
        <w:rPr>
          <w:sz w:val="28"/>
          <w:szCs w:val="28"/>
        </w:rPr>
        <w:t xml:space="preserve">норматива зачисления налога на доходы физических лиц, </w:t>
      </w:r>
      <w:r>
        <w:rPr>
          <w:sz w:val="28"/>
          <w:szCs w:val="28"/>
        </w:rPr>
        <w:t xml:space="preserve">в настоящем анализе объем доходов бюджета 2024 года приведен в сопоставимы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(норматив по НДФЛ – 30,0%).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42"/>
        <w:ind w:firstLine="709"/>
        <w:spacing w:line="240" w:lineRule="atLeast"/>
        <w:tabs>
          <w:tab w:val="left" w:pos="7938" w:leader="none"/>
        </w:tabs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</w:rPr>
        <w:t xml:space="preserve">по </w:t>
      </w:r>
      <w:r>
        <w:rPr>
          <w:b/>
          <w:color w:val="auto"/>
          <w:sz w:val="28"/>
          <w:szCs w:val="28"/>
        </w:rPr>
        <w:t xml:space="preserve">расходам</w:t>
      </w:r>
      <w:r>
        <w:rPr>
          <w:color w:val="auto"/>
          <w:sz w:val="28"/>
          <w:szCs w:val="28"/>
        </w:rPr>
        <w:t xml:space="preserve"> - в </w:t>
      </w:r>
      <w:r>
        <w:rPr>
          <w:color w:val="auto"/>
          <w:sz w:val="28"/>
          <w:szCs w:val="28"/>
        </w:rPr>
        <w:t xml:space="preserve">сумме</w:t>
      </w:r>
      <w:r>
        <w:rPr>
          <w:color w:val="auto"/>
        </w:rPr>
        <w:t xml:space="preserve"> </w:t>
      </w:r>
      <w:r>
        <w:rPr>
          <w:b/>
          <w:color w:val="auto"/>
          <w:sz w:val="28"/>
          <w:szCs w:val="28"/>
        </w:rPr>
        <w:t xml:space="preserve">2 210 930,7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</w:t>
      </w:r>
      <w:r>
        <w:rPr>
          <w:color w:val="auto"/>
          <w:sz w:val="28"/>
          <w:szCs w:val="28"/>
        </w:rPr>
        <w:t xml:space="preserve">. руб.</w:t>
      </w: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88,0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кассового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</w:t>
      </w:r>
      <w:r>
        <w:rPr>
          <w:color w:val="auto"/>
          <w:sz w:val="28"/>
          <w:szCs w:val="28"/>
        </w:rPr>
        <w:t xml:space="preserve">января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5 года (</w:t>
      </w:r>
      <w:r>
        <w:rPr>
          <w:color w:val="auto"/>
          <w:sz w:val="28"/>
          <w:szCs w:val="28"/>
        </w:rPr>
        <w:t xml:space="preserve">2 513 034,6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руб.</w:t>
      </w:r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3,7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</w:t>
      </w:r>
      <w:r>
        <w:rPr>
          <w:color w:val="auto"/>
          <w:sz w:val="28"/>
          <w:szCs w:val="28"/>
        </w:rPr>
        <w:t xml:space="preserve"> годовых ассигнований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60 281 597,7 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ыс.</w:t>
      </w:r>
      <w:r>
        <w:rPr>
          <w:color w:val="auto"/>
          <w:sz w:val="28"/>
          <w:szCs w:val="28"/>
        </w:rPr>
        <w:t xml:space="preserve">руб.). </w:t>
      </w:r>
      <w:r>
        <w:rPr>
          <w:color w:val="auto"/>
          <w:sz w:val="28"/>
          <w:szCs w:val="28"/>
        </w:rPr>
        <w:t xml:space="preserve">К</w:t>
      </w:r>
      <w:r>
        <w:rPr>
          <w:bCs/>
          <w:color w:val="auto"/>
          <w:sz w:val="28"/>
          <w:szCs w:val="28"/>
        </w:rPr>
        <w:t xml:space="preserve">ассовый</w:t>
      </w:r>
      <w:r>
        <w:rPr>
          <w:bCs/>
          <w:color w:val="auto"/>
          <w:sz w:val="28"/>
          <w:szCs w:val="28"/>
        </w:rPr>
        <w:t xml:space="preserve"> расход за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аналогичный период прошлого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составлял</w:t>
      </w:r>
      <w:r>
        <w:rPr>
          <w:color w:val="auto"/>
          <w:sz w:val="28"/>
          <w:szCs w:val="28"/>
        </w:rPr>
        <w:t xml:space="preserve">             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1 528 761,7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</w:t>
      </w:r>
      <w:r>
        <w:rPr>
          <w:color w:val="auto"/>
          <w:sz w:val="28"/>
          <w:szCs w:val="28"/>
        </w:rPr>
        <w:t xml:space="preserve">. руб</w:t>
      </w:r>
      <w:r>
        <w:rPr>
          <w:color w:val="auto"/>
          <w:sz w:val="28"/>
          <w:szCs w:val="28"/>
        </w:rPr>
        <w:t xml:space="preserve">., </w:t>
      </w:r>
      <w:r>
        <w:rPr>
          <w:color w:val="auto"/>
          <w:sz w:val="28"/>
          <w:szCs w:val="28"/>
        </w:rPr>
        <w:t xml:space="preserve">или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78,6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кассового</w:t>
      </w:r>
      <w:r>
        <w:rPr>
          <w:color w:val="auto"/>
          <w:sz w:val="28"/>
          <w:szCs w:val="28"/>
        </w:rPr>
        <w:t xml:space="preserve"> плана </w:t>
      </w:r>
      <w:r>
        <w:rPr>
          <w:color w:val="auto"/>
          <w:sz w:val="28"/>
          <w:szCs w:val="28"/>
        </w:rPr>
        <w:t xml:space="preserve">января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4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42"/>
        <w:ind w:firstLine="709"/>
        <w:spacing w:line="240" w:lineRule="auto"/>
        <w:rPr>
          <w:color w:val="auto"/>
          <w:szCs w:val="28"/>
        </w:rPr>
      </w:pPr>
      <w:r>
        <w:rPr>
          <w:color w:val="auto"/>
          <w:sz w:val="20"/>
          <w:szCs w:val="28"/>
        </w:rPr>
        <w:t xml:space="preserve"> 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942"/>
        <w:ind w:firstLine="709"/>
        <w:spacing w:line="240" w:lineRule="auto"/>
        <w:rPr>
          <w:b/>
          <w:color w:val="auto"/>
          <w:sz w:val="12"/>
          <w:szCs w:val="28"/>
        </w:rPr>
      </w:pPr>
      <w:r>
        <w:rPr>
          <w:color w:val="auto"/>
          <w:sz w:val="28"/>
          <w:szCs w:val="28"/>
        </w:rPr>
        <w:t xml:space="preserve">Поступления доходов за </w:t>
      </w:r>
      <w:r>
        <w:rPr>
          <w:color w:val="auto"/>
          <w:sz w:val="28"/>
          <w:szCs w:val="28"/>
        </w:rPr>
        <w:t xml:space="preserve">январь 2025 года</w:t>
      </w:r>
      <w:r>
        <w:rPr>
          <w:color w:val="auto"/>
          <w:sz w:val="28"/>
          <w:szCs w:val="28"/>
        </w:rPr>
        <w:t xml:space="preserve"> превысили выплаты по расходам</w:t>
      </w:r>
      <w:r>
        <w:rPr>
          <w:color w:val="auto"/>
          <w:sz w:val="28"/>
          <w:szCs w:val="28"/>
        </w:rPr>
        <w:t xml:space="preserve">                  </w:t>
      </w:r>
      <w:r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 xml:space="preserve">214 088,1</w:t>
      </w:r>
      <w:r>
        <w:rPr>
          <w:color w:val="auto"/>
          <w:sz w:val="28"/>
          <w:szCs w:val="28"/>
        </w:rPr>
        <w:t xml:space="preserve"> тыс. руб.</w:t>
      </w:r>
      <w:r>
        <w:rPr>
          <w:color w:val="auto"/>
        </w:rPr>
        <w:t xml:space="preserve"> </w:t>
      </w:r>
      <w:r>
        <w:rPr>
          <w:b/>
          <w:color w:val="auto"/>
          <w:sz w:val="12"/>
          <w:szCs w:val="28"/>
        </w:rPr>
      </w:r>
      <w:r>
        <w:rPr>
          <w:b/>
          <w:color w:val="auto"/>
          <w:sz w:val="12"/>
          <w:szCs w:val="28"/>
        </w:rPr>
      </w:r>
    </w:p>
    <w:p>
      <w:pPr>
        <w:pStyle w:val="942"/>
        <w:ind w:firstLine="709"/>
        <w:spacing w:line="240" w:lineRule="atLeast"/>
        <w:tabs>
          <w:tab w:val="left" w:pos="7938" w:leader="none"/>
        </w:tabs>
        <w:rPr>
          <w:color w:val="auto"/>
          <w:szCs w:val="20"/>
        </w:rPr>
      </w:pPr>
      <w:r>
        <w:rPr>
          <w:color w:val="auto"/>
          <w:szCs w:val="20"/>
        </w:rPr>
      </w:r>
      <w:r>
        <w:rPr>
          <w:color w:val="auto"/>
          <w:szCs w:val="20"/>
        </w:rPr>
      </w:r>
      <w:r>
        <w:rPr>
          <w:color w:val="auto"/>
          <w:szCs w:val="20"/>
        </w:rPr>
      </w:r>
    </w:p>
    <w:p>
      <w:pPr>
        <w:pStyle w:val="942"/>
        <w:ind w:firstLine="720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Остаток средств на счете местн</w:t>
      </w:r>
      <w:r>
        <w:rPr>
          <w:color w:val="auto"/>
          <w:sz w:val="28"/>
          <w:szCs w:val="28"/>
        </w:rPr>
        <w:t xml:space="preserve">ого бюджета по состоянию на 01.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.202</w:t>
      </w:r>
      <w:r>
        <w:rPr>
          <w:color w:val="auto"/>
          <w:sz w:val="28"/>
          <w:szCs w:val="28"/>
        </w:rPr>
        <w:t xml:space="preserve">5 </w:t>
      </w:r>
      <w:r>
        <w:rPr>
          <w:color w:val="auto"/>
          <w:sz w:val="28"/>
          <w:szCs w:val="28"/>
        </w:rPr>
        <w:t xml:space="preserve">составил </w:t>
      </w:r>
      <w:r>
        <w:rPr>
          <w:color w:val="auto"/>
          <w:sz w:val="28"/>
          <w:szCs w:val="28"/>
        </w:rPr>
        <w:t xml:space="preserve">4 201 489,4 </w:t>
      </w:r>
      <w:r>
        <w:rPr>
          <w:color w:val="auto"/>
          <w:sz w:val="28"/>
          <w:szCs w:val="28"/>
        </w:rPr>
        <w:t xml:space="preserve">тыс. руб. (в</w:t>
      </w:r>
      <w:r>
        <w:rPr>
          <w:color w:val="auto"/>
          <w:sz w:val="28"/>
          <w:szCs w:val="28"/>
        </w:rPr>
        <w:t xml:space="preserve"> т</w:t>
      </w:r>
      <w:r>
        <w:rPr>
          <w:color w:val="auto"/>
          <w:sz w:val="28"/>
          <w:szCs w:val="28"/>
        </w:rPr>
        <w:t xml:space="preserve">ом числе: собственные </w:t>
      </w:r>
      <w:r>
        <w:rPr>
          <w:color w:val="auto"/>
          <w:sz w:val="28"/>
          <w:szCs w:val="28"/>
        </w:rPr>
        <w:t xml:space="preserve">средства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4 178 427,0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руб.,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субсидии, субвенции </w:t>
      </w:r>
      <w:r>
        <w:rPr>
          <w:color w:val="auto"/>
          <w:sz w:val="28"/>
          <w:szCs w:val="28"/>
        </w:rPr>
        <w:t xml:space="preserve">и иные МБТ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23 062,4 тыс. руб.).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42"/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c00000"/>
          <w:sz w:val="28"/>
          <w:szCs w:val="20"/>
        </w:rPr>
      </w:pPr>
      <w:r>
        <w:rPr>
          <w:color w:val="c00000"/>
          <w:sz w:val="28"/>
          <w:szCs w:val="20"/>
        </w:rPr>
      </w:r>
      <w:r>
        <w:rPr>
          <w:color w:val="c00000"/>
          <w:sz w:val="28"/>
          <w:szCs w:val="20"/>
        </w:rPr>
      </w:r>
      <w:r>
        <w:rPr>
          <w:color w:val="c00000"/>
          <w:sz w:val="28"/>
          <w:szCs w:val="20"/>
        </w:rPr>
      </w:r>
    </w:p>
    <w:p>
      <w:pPr>
        <w:pStyle w:val="942"/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c00000"/>
          <w:sz w:val="28"/>
          <w:szCs w:val="20"/>
        </w:rPr>
      </w:pPr>
      <w:r>
        <w:rPr>
          <w:color w:val="c00000"/>
          <w:sz w:val="28"/>
          <w:szCs w:val="20"/>
        </w:rPr>
      </w:r>
      <w:r>
        <w:rPr>
          <w:color w:val="c00000"/>
          <w:sz w:val="28"/>
          <w:szCs w:val="20"/>
        </w:rPr>
      </w:r>
      <w:r>
        <w:rPr>
          <w:color w:val="c00000"/>
          <w:sz w:val="28"/>
          <w:szCs w:val="20"/>
        </w:rPr>
      </w:r>
    </w:p>
    <w:p>
      <w:pPr>
        <w:pStyle w:val="942"/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c00000"/>
          <w:sz w:val="16"/>
          <w:szCs w:val="20"/>
        </w:rPr>
      </w:pPr>
      <w:r>
        <w:rPr>
          <w:color w:val="c00000"/>
          <w:sz w:val="16"/>
          <w:szCs w:val="20"/>
        </w:rPr>
      </w:r>
      <w:r>
        <w:rPr>
          <w:color w:val="c00000"/>
          <w:sz w:val="16"/>
          <w:szCs w:val="20"/>
        </w:rPr>
      </w:r>
      <w:r>
        <w:rPr>
          <w:color w:val="c00000"/>
          <w:sz w:val="16"/>
          <w:szCs w:val="20"/>
        </w:rPr>
      </w:r>
    </w:p>
    <w:p>
      <w:pPr>
        <w:pStyle w:val="942"/>
        <w:numPr>
          <w:ilvl w:val="0"/>
          <w:numId w:val="38"/>
        </w:numPr>
        <w:contextualSpacing/>
        <w:ind w:right="-1"/>
        <w:jc w:val="center"/>
        <w:spacing w:line="240" w:lineRule="auto"/>
        <w:widowControl/>
        <w:rPr>
          <w:rFonts w:eastAsia="Calibri"/>
          <w:b/>
          <w:caps/>
          <w:color w:val="000000" w:themeColor="text1"/>
          <w:sz w:val="28"/>
          <w:szCs w:val="22"/>
        </w:rPr>
      </w:pPr>
      <w:r>
        <w:rPr>
          <w:rFonts w:eastAsia="Calibri"/>
          <w:b/>
          <w:caps/>
          <w:color w:val="000000" w:themeColor="text1"/>
          <w:sz w:val="28"/>
          <w:szCs w:val="22"/>
          <w:lang w:eastAsia="en-US"/>
        </w:rPr>
        <w:t xml:space="preserve">ИСПОЛНЕНИЕ БЮДЖЕТА ПО ДОХОДАМ </w:t>
      </w:r>
      <w:r>
        <w:rPr>
          <w:rFonts w:eastAsia="Calibri"/>
          <w:b/>
          <w:caps/>
          <w:color w:val="000000" w:themeColor="text1"/>
          <w:sz w:val="28"/>
          <w:szCs w:val="22"/>
        </w:rPr>
      </w:r>
      <w:r>
        <w:rPr>
          <w:rFonts w:eastAsia="Calibri"/>
          <w:b/>
          <w:caps/>
          <w:color w:val="000000" w:themeColor="text1"/>
          <w:sz w:val="28"/>
          <w:szCs w:val="22"/>
        </w:rPr>
      </w:r>
    </w:p>
    <w:p>
      <w:pPr>
        <w:pStyle w:val="942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                                              (приложение 1 к настоящей записке)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8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trike w:val="0"/>
          <w:color w:val="000000" w:themeColor="text1"/>
          <w:sz w:val="28"/>
          <w:szCs w:val="28"/>
        </w:rPr>
      </w:pPr>
      <w:r>
        <w:rPr>
          <w:b/>
          <w:strike w:val="0"/>
          <w:color w:val="000000" w:themeColor="text1"/>
          <w:sz w:val="28"/>
          <w:szCs w:val="28"/>
        </w:rPr>
        <w:t xml:space="preserve">Налоговые доходы</w:t>
      </w:r>
      <w:r>
        <w:rPr>
          <w:strike w:val="0"/>
          <w:color w:val="000000" w:themeColor="text1"/>
          <w:sz w:val="28"/>
          <w:szCs w:val="28"/>
        </w:rPr>
        <w:t xml:space="preserve"> поступили в бюджет города в сумме </w:t>
      </w:r>
      <w:r>
        <w:rPr>
          <w:strike w:val="0"/>
          <w:color w:val="000000" w:themeColor="text1"/>
          <w:sz w:val="28"/>
          <w:szCs w:val="28"/>
        </w:rPr>
        <w:t xml:space="preserve">1 029 281,6 </w:t>
      </w:r>
      <w:r>
        <w:rPr>
          <w:strike w:val="0"/>
          <w:color w:val="000000" w:themeColor="text1"/>
          <w:sz w:val="28"/>
          <w:szCs w:val="28"/>
        </w:rPr>
        <w:t xml:space="preserve">тыс. руб.</w:t>
      </w:r>
      <w:r>
        <w:rPr>
          <w:strike w:val="0"/>
          <w:color w:val="000000" w:themeColor="text1"/>
          <w:sz w:val="28"/>
          <w:szCs w:val="28"/>
        </w:rPr>
        <w:t xml:space="preserve"> или 106,3 % к плану января (968 341,5 тыс. руб.) и </w:t>
      </w:r>
      <w:r>
        <w:rPr>
          <w:strike w:val="0"/>
          <w:color w:val="000000" w:themeColor="text1"/>
          <w:sz w:val="28"/>
          <w:szCs w:val="28"/>
        </w:rPr>
        <w:t xml:space="preserve">3,9 </w:t>
      </w:r>
      <w:r>
        <w:rPr>
          <w:strike w:val="0"/>
          <w:color w:val="000000" w:themeColor="text1"/>
          <w:sz w:val="28"/>
          <w:szCs w:val="28"/>
        </w:rPr>
        <w:t xml:space="preserve">% к плану года (</w:t>
      </w:r>
      <w:r>
        <w:rPr>
          <w:strike w:val="0"/>
          <w:color w:val="000000" w:themeColor="text1"/>
          <w:sz w:val="28"/>
          <w:szCs w:val="28"/>
        </w:rPr>
        <w:t xml:space="preserve">26 435 538,1</w:t>
      </w:r>
      <w:r>
        <w:rPr>
          <w:strike w:val="0"/>
          <w:color w:val="000000" w:themeColor="text1"/>
          <w:sz w:val="28"/>
          <w:szCs w:val="28"/>
        </w:rPr>
        <w:t xml:space="preserve"> тыс. руб.)</w:t>
      </w:r>
      <w:r>
        <w:rPr>
          <w:strike w:val="0"/>
          <w:color w:val="000000" w:themeColor="text1"/>
          <w:sz w:val="28"/>
          <w:szCs w:val="28"/>
        </w:rPr>
        <w:t xml:space="preserve">. За аналогичный период прошлого года поступления составляли </w:t>
      </w:r>
      <w:r>
        <w:rPr>
          <w:strike w:val="0"/>
          <w:color w:val="000000" w:themeColor="text1"/>
          <w:sz w:val="28"/>
          <w:szCs w:val="28"/>
        </w:rPr>
        <w:br/>
        <w:t xml:space="preserve">832 374,3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тыс. руб.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</w:rPr>
      </w:pPr>
      <w:r>
        <w:rPr>
          <w:b/>
          <w:strike w:val="0"/>
          <w:color w:val="000000" w:themeColor="text1"/>
          <w:sz w:val="28"/>
          <w:szCs w:val="28"/>
        </w:rPr>
        <w:t xml:space="preserve">Неналоговые доходы</w:t>
      </w:r>
      <w:r>
        <w:rPr>
          <w:strike w:val="0"/>
          <w:color w:val="000000" w:themeColor="text1"/>
          <w:sz w:val="28"/>
          <w:szCs w:val="28"/>
        </w:rPr>
        <w:t xml:space="preserve"> поступили в бюджет города в сумме 523 740,8</w:t>
      </w:r>
      <w:r>
        <w:rPr>
          <w:strike w:val="0"/>
          <w:color w:val="000000" w:themeColor="text1"/>
          <w:sz w:val="28"/>
          <w:szCs w:val="28"/>
        </w:rPr>
        <w:t xml:space="preserve"> тыс. руб</w:t>
      </w:r>
      <w:r>
        <w:rPr>
          <w:strike w:val="0"/>
          <w:color w:val="000000" w:themeColor="text1"/>
          <w:sz w:val="28"/>
          <w:szCs w:val="28"/>
        </w:rPr>
        <w:t xml:space="preserve">.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или 111,8 </w:t>
      </w:r>
      <w:r>
        <w:rPr>
          <w:strike w:val="0"/>
          <w:color w:val="000000" w:themeColor="text1"/>
          <w:sz w:val="28"/>
          <w:szCs w:val="28"/>
        </w:rPr>
        <w:t xml:space="preserve">% к плану января (</w:t>
      </w:r>
      <w:r>
        <w:rPr>
          <w:strike w:val="0"/>
          <w:color w:val="000000" w:themeColor="text1"/>
          <w:sz w:val="28"/>
          <w:szCs w:val="28"/>
        </w:rPr>
        <w:t xml:space="preserve">468 647,3</w:t>
      </w:r>
      <w:r>
        <w:rPr>
          <w:strike w:val="0"/>
          <w:color w:val="000000" w:themeColor="text1"/>
          <w:sz w:val="28"/>
          <w:szCs w:val="28"/>
        </w:rPr>
        <w:t xml:space="preserve"> тыс. руб.) и 7,0 </w:t>
      </w:r>
      <w:r>
        <w:rPr>
          <w:strike w:val="0"/>
          <w:color w:val="000000" w:themeColor="text1"/>
          <w:sz w:val="28"/>
          <w:szCs w:val="28"/>
        </w:rPr>
        <w:t xml:space="preserve">% к плану года (</w:t>
      </w:r>
      <w:r>
        <w:rPr>
          <w:strike w:val="0"/>
          <w:color w:val="000000" w:themeColor="text1"/>
          <w:sz w:val="28"/>
          <w:szCs w:val="28"/>
        </w:rPr>
        <w:t xml:space="preserve">7 455 844,9 </w:t>
      </w:r>
      <w:r>
        <w:rPr>
          <w:strike w:val="0"/>
          <w:color w:val="000000" w:themeColor="text1"/>
          <w:sz w:val="28"/>
          <w:szCs w:val="28"/>
        </w:rPr>
        <w:t xml:space="preserve">тыс. руб.).</w:t>
      </w:r>
      <w:r>
        <w:rPr>
          <w:strike w:val="0"/>
          <w:color w:val="000000" w:themeColor="text1"/>
          <w:sz w:val="28"/>
          <w:szCs w:val="28"/>
        </w:rPr>
        <w:t xml:space="preserve"> За аналогичный период прошлого года поступления составляли </w:t>
      </w:r>
      <w:r>
        <w:rPr>
          <w:strike w:val="0"/>
          <w:color w:val="000000" w:themeColor="text1"/>
          <w:sz w:val="28"/>
          <w:szCs w:val="28"/>
        </w:rPr>
        <w:t xml:space="preserve">494 715,8</w:t>
      </w:r>
      <w:r>
        <w:rPr>
          <w:strike w:val="0"/>
          <w:color w:val="000000" w:themeColor="text1"/>
          <w:sz w:val="28"/>
          <w:szCs w:val="28"/>
        </w:rPr>
        <w:t xml:space="preserve"> тыс. руб</w:t>
      </w:r>
      <w:r>
        <w:rPr>
          <w:strike w:val="0"/>
          <w:color w:val="000000" w:themeColor="text1"/>
          <w:sz w:val="28"/>
          <w:szCs w:val="28"/>
        </w:rPr>
        <w:t xml:space="preserve">.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</w:rPr>
      </w:pPr>
      <w:r>
        <w:rPr>
          <w:b/>
          <w:strike w:val="0"/>
          <w:color w:val="000000" w:themeColor="text1"/>
          <w:sz w:val="28"/>
          <w:szCs w:val="28"/>
        </w:rPr>
        <w:t xml:space="preserve">Безвозмездные поступления</w:t>
      </w:r>
      <w:r>
        <w:rPr>
          <w:strike w:val="0"/>
          <w:color w:val="000000" w:themeColor="text1"/>
          <w:sz w:val="28"/>
          <w:szCs w:val="28"/>
        </w:rPr>
        <w:t xml:space="preserve"> от бюджетов других уровней поступили </w:t>
      </w:r>
      <w:r>
        <w:rPr>
          <w:strike w:val="0"/>
          <w:color w:val="000000" w:themeColor="text1"/>
          <w:sz w:val="28"/>
          <w:szCs w:val="28"/>
        </w:rPr>
        <w:t xml:space="preserve">в сумме </w:t>
      </w:r>
      <w:r>
        <w:rPr>
          <w:strike w:val="0"/>
          <w:color w:val="000000" w:themeColor="text1"/>
          <w:sz w:val="28"/>
          <w:szCs w:val="28"/>
        </w:rPr>
        <w:t xml:space="preserve">871 996,4 </w:t>
      </w:r>
      <w:r>
        <w:rPr>
          <w:strike w:val="0"/>
          <w:color w:val="000000" w:themeColor="text1"/>
          <w:sz w:val="28"/>
          <w:szCs w:val="28"/>
        </w:rPr>
        <w:t xml:space="preserve">тыс. руб</w:t>
      </w:r>
      <w:r>
        <w:rPr>
          <w:strike w:val="0"/>
          <w:color w:val="000000" w:themeColor="text1"/>
          <w:sz w:val="28"/>
          <w:szCs w:val="28"/>
        </w:rPr>
        <w:t xml:space="preserve">.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или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106,2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% к плану января (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821 086,9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тыс. руб.)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ли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3,5%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к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плану года (25 250 030,6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тыс. р</w:t>
      </w:r>
      <w:r>
        <w:rPr>
          <w:strike w:val="0"/>
          <w:color w:val="000000" w:themeColor="text1"/>
          <w:sz w:val="28"/>
          <w:szCs w:val="28"/>
        </w:rPr>
        <w:t xml:space="preserve">уб.).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За аналогичный период прошлого года поступления составляли 264 569,8</w:t>
      </w:r>
      <w:r>
        <w:rPr>
          <w:strike w:val="0"/>
          <w:color w:val="000000" w:themeColor="text1"/>
          <w:sz w:val="28"/>
          <w:szCs w:val="28"/>
        </w:rPr>
        <w:t xml:space="preserve"> тыс. руб. 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</w:rPr>
        <w:t xml:space="preserve">В составе безвозмездных поступлений отражена сумма возврата остатков субсидий, субвенций и иных межбюджетных трансфертов, имеющих целевое </w:t>
      </w:r>
      <w:r>
        <w:rPr>
          <w:strike w:val="0"/>
          <w:color w:val="000000" w:themeColor="text1"/>
          <w:sz w:val="28"/>
          <w:szCs w:val="28"/>
        </w:rPr>
        <w:t xml:space="preserve">назначение, прошлых лет, отражаемая в доходах бюджета со знаком «минус», в общем объеме 256 485,1</w:t>
      </w:r>
      <w:r>
        <w:rPr>
          <w:strike w:val="0"/>
          <w:color w:val="000000" w:themeColor="text1"/>
          <w:sz w:val="28"/>
          <w:szCs w:val="28"/>
        </w:rPr>
        <w:t xml:space="preserve"> тыс. руб. За аналогичный период прошлого года сумма возврата составляла </w:t>
      </w:r>
      <w:r>
        <w:rPr>
          <w:strike w:val="0"/>
          <w:color w:val="000000" w:themeColor="text1"/>
          <w:sz w:val="28"/>
          <w:szCs w:val="28"/>
        </w:rPr>
        <w:t xml:space="preserve">656 904,7 </w:t>
      </w:r>
      <w:r>
        <w:rPr>
          <w:strike w:val="0"/>
          <w:color w:val="000000" w:themeColor="text1"/>
          <w:sz w:val="28"/>
          <w:szCs w:val="28"/>
        </w:rPr>
        <w:t xml:space="preserve">тыс. руб.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плана </w:t>
      </w:r>
      <w:r>
        <w:rPr>
          <w:sz w:val="28"/>
          <w:szCs w:val="28"/>
        </w:rPr>
        <w:t xml:space="preserve">по доходам за январь 202</w:t>
      </w:r>
      <w:r>
        <w:rPr>
          <w:sz w:val="28"/>
          <w:szCs w:val="28"/>
        </w:rPr>
        <w:t xml:space="preserve">5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основным</w:t>
      </w:r>
      <w:r>
        <w:rPr>
          <w:sz w:val="28"/>
          <w:szCs w:val="28"/>
        </w:rPr>
        <w:t xml:space="preserve"> бюджетообразующим поступлениям выглядит следующим образом: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pacing w:line="240" w:lineRule="auto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По итогам января 2025 г. фактическое поступление </w:t>
      </w:r>
      <w:r>
        <w:rPr>
          <w:b/>
          <w:iCs/>
          <w:color w:val="auto"/>
          <w:sz w:val="28"/>
          <w:szCs w:val="28"/>
        </w:rPr>
        <w:t xml:space="preserve">налога на доходы физических лиц составило</w:t>
      </w:r>
      <w:r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782 902,4 тыс. руб., или 110,7 % к плану января</w:t>
        <w:br/>
        <w:t xml:space="preserve"> (707 265,1 тыс. руб.) и </w:t>
      </w:r>
      <w:r>
        <w:rPr>
          <w:color w:val="auto"/>
          <w:sz w:val="28"/>
          <w:szCs w:val="28"/>
        </w:rPr>
        <w:t xml:space="preserve">3,9 %</w:t>
      </w:r>
      <w:r>
        <w:rPr>
          <w:iCs/>
          <w:color w:val="auto"/>
          <w:sz w:val="28"/>
          <w:szCs w:val="28"/>
        </w:rPr>
        <w:t xml:space="preserve"> к</w:t>
      </w:r>
      <w:r>
        <w:rPr>
          <w:color w:val="auto"/>
          <w:sz w:val="28"/>
          <w:szCs w:val="28"/>
        </w:rPr>
        <w:t xml:space="preserve"> плану года (</w:t>
      </w:r>
      <w:r>
        <w:rPr>
          <w:color w:val="auto"/>
          <w:sz w:val="28"/>
          <w:szCs w:val="28"/>
        </w:rPr>
        <w:t xml:space="preserve">20 125 543,4 тыс. руб.).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Перевыполнение плана обусловлено, в основном, поступлением налога с выплаченных дивидендов</w:t>
      </w:r>
      <w:r>
        <w:rPr>
          <w:color w:val="auto"/>
          <w:sz w:val="28"/>
          <w:szCs w:val="28"/>
        </w:rPr>
        <w:t xml:space="preserve">, сумма которых в</w:t>
      </w:r>
      <w:r>
        <w:rPr>
          <w:color w:val="auto"/>
          <w:sz w:val="28"/>
          <w:szCs w:val="28"/>
        </w:rPr>
        <w:t xml:space="preserve"> 1,7 раза превышает сумму, выплаченную за аналогичный период 2024 года.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Относительно аналогичного периода прошлого года поступления составили </w:t>
      </w:r>
      <w:r>
        <w:rPr>
          <w:color w:val="auto"/>
          <w:sz w:val="28"/>
          <w:szCs w:val="28"/>
        </w:rPr>
        <w:t xml:space="preserve">125,9 %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851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</w:r>
      <w:r>
        <w:rPr>
          <w:b/>
          <w:iCs/>
          <w:color w:val="auto"/>
          <w:sz w:val="28"/>
          <w:szCs w:val="28"/>
        </w:rPr>
      </w:r>
      <w:r>
        <w:rPr>
          <w:b/>
          <w:iCs/>
          <w:color w:val="auto"/>
          <w:sz w:val="28"/>
          <w:szCs w:val="28"/>
        </w:rPr>
      </w:r>
    </w:p>
    <w:p>
      <w:pPr>
        <w:ind w:firstLine="851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По</w:t>
      </w:r>
      <w:r>
        <w:rPr>
          <w:b/>
          <w:iCs/>
          <w:color w:val="auto"/>
          <w:sz w:val="28"/>
          <w:szCs w:val="28"/>
        </w:rPr>
        <w:t xml:space="preserve"> налогу, взимаемому в связи с применением упрощенной системы налогообложения, </w:t>
      </w:r>
      <w:r>
        <w:rPr>
          <w:iCs/>
          <w:color w:val="auto"/>
          <w:sz w:val="28"/>
          <w:szCs w:val="28"/>
        </w:rPr>
        <w:t xml:space="preserve">при отсутствии срока уплаты поступили платежи в счет погашения задолженности</w:t>
      </w:r>
      <w:r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в сумме 338,5 тыс. руб., или 2,8 % к плану января </w:t>
        <w:br/>
        <w:t xml:space="preserve">(12 022,6 тыс. руб.).</w:t>
      </w: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</w:p>
    <w:p>
      <w:pPr>
        <w:ind w:firstLine="851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Относительно аналогичного периода прошлого года поступления составили 6,0%. </w:t>
      </w: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</w:p>
    <w:p>
      <w:pPr>
        <w:ind w:firstLine="851"/>
        <w:spacing w:line="240" w:lineRule="auto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</w:p>
    <w:p>
      <w:pPr>
        <w:ind w:firstLine="709"/>
        <w:spacing w:line="240" w:lineRule="auto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По </w:t>
      </w:r>
      <w:r>
        <w:rPr>
          <w:b/>
          <w:iCs/>
          <w:color w:val="auto"/>
          <w:sz w:val="28"/>
          <w:szCs w:val="28"/>
        </w:rPr>
        <w:t xml:space="preserve">налогу, взимаемому в связи с применением патентной системы налогообложения,</w:t>
      </w:r>
      <w:r>
        <w:rPr>
          <w:iCs/>
          <w:color w:val="auto"/>
          <w:sz w:val="28"/>
          <w:szCs w:val="28"/>
        </w:rPr>
        <w:t xml:space="preserve"> фактическое поступление составило</w:t>
      </w:r>
      <w:r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162 989,3 тыс. руб. или 92,7 % к плану января (175 874,2 тыс. руб.) и 26,5% к пл</w:t>
      </w:r>
      <w:r>
        <w:rPr>
          <w:iCs/>
          <w:color w:val="auto"/>
          <w:sz w:val="28"/>
          <w:szCs w:val="28"/>
        </w:rPr>
        <w:t xml:space="preserve">ану года (615 839,4 тыс. руб.).</w:t>
      </w: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</w:p>
    <w:p>
      <w:pPr>
        <w:ind w:firstLine="709"/>
        <w:spacing w:line="240" w:lineRule="auto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Неисполнение плана обусловлено ростом количества налогоплательщиков, воспользовавшихся правом уменьшения налога на сумму уплаченных страховых взносов.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8"/>
        <w:spacing w:line="240" w:lineRule="auto"/>
        <w:rPr>
          <w:iCs/>
          <w:color w:val="auto"/>
          <w:sz w:val="28"/>
          <w:szCs w:val="28"/>
          <w:highlight w:val="white"/>
        </w:rPr>
      </w:pPr>
      <w:r>
        <w:rPr>
          <w:b/>
          <w:iCs/>
          <w:color w:val="auto"/>
          <w:sz w:val="28"/>
          <w:szCs w:val="28"/>
          <w:highlight w:val="white"/>
        </w:rPr>
        <w:t xml:space="preserve">Налог на имущество физических лиц </w:t>
      </w:r>
      <w:r>
        <w:rPr>
          <w:iCs/>
          <w:color w:val="auto"/>
          <w:sz w:val="28"/>
          <w:szCs w:val="28"/>
          <w:highlight w:val="white"/>
        </w:rPr>
        <w:t xml:space="preserve">поступил в сумме 28 407,4 тыс. руб. или 94,7 % к плану января 2025 года (30 000,0 тыс. руб.) и 1,9 % к плану года (1 486 170,1 тыс. руб.).</w:t>
      </w:r>
      <w:r>
        <w:rPr>
          <w:color w:val="auto"/>
          <w:sz w:val="28"/>
          <w:szCs w:val="28"/>
          <w:highlight w:val="white"/>
        </w:rPr>
        <w:t xml:space="preserve"> П</w:t>
      </w:r>
      <w:r>
        <w:rPr>
          <w:iCs/>
          <w:color w:val="auto"/>
          <w:sz w:val="28"/>
          <w:szCs w:val="28"/>
          <w:highlight w:val="white"/>
        </w:rPr>
        <w:t xml:space="preserve">ри отсутствии срока уплаты поступили платежи в счет погашения задолженности.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iCs/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Объем поступления налога в январе 2025 года соответствует уровню </w:t>
      </w:r>
      <w:r>
        <w:rPr>
          <w:iCs/>
          <w:color w:val="auto"/>
          <w:sz w:val="28"/>
          <w:szCs w:val="28"/>
          <w:highlight w:val="white"/>
        </w:rPr>
        <w:t xml:space="preserve"> аналогичного периода прошлого года (101,1 %).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iCs/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Задолженность по налогу по состоянию на 01.01.2025 составляет 229 863,2 тыс. руб. 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b/>
          <w:color w:val="auto"/>
          <w:sz w:val="28"/>
          <w:szCs w:val="28"/>
          <w:highlight w:val="yellow"/>
        </w:rPr>
      </w:pP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8"/>
          <w:szCs w:val="28"/>
          <w:highlight w:val="yellow"/>
        </w:rPr>
      </w:r>
    </w:p>
    <w:p>
      <w:pPr>
        <w:ind w:firstLine="709"/>
        <w:spacing w:line="240" w:lineRule="auto"/>
        <w:rPr>
          <w:color w:val="auto"/>
          <w:sz w:val="28"/>
          <w:szCs w:val="28"/>
          <w:highlight w:val="white"/>
        </w:rPr>
      </w:pPr>
      <w:r>
        <w:rPr>
          <w:b/>
          <w:iCs/>
          <w:color w:val="auto"/>
          <w:sz w:val="28"/>
          <w:szCs w:val="28"/>
          <w:highlight w:val="white"/>
        </w:rPr>
        <w:t xml:space="preserve">Земельный налог</w:t>
      </w:r>
      <w:r>
        <w:rPr>
          <w:color w:val="auto"/>
          <w:sz w:val="28"/>
          <w:szCs w:val="28"/>
          <w:highlight w:val="white"/>
        </w:rPr>
        <w:t xml:space="preserve"> поступил в сумме </w:t>
      </w:r>
      <w:r>
        <w:rPr>
          <w:color w:val="auto"/>
          <w:sz w:val="28"/>
          <w:szCs w:val="28"/>
          <w:highlight w:val="white"/>
        </w:rPr>
        <w:t xml:space="preserve">6 460,6 тыс. руб., или 85,0 % к плану </w:t>
      </w:r>
      <w:r>
        <w:rPr>
          <w:iCs/>
          <w:color w:val="auto"/>
          <w:sz w:val="28"/>
          <w:szCs w:val="28"/>
          <w:highlight w:val="white"/>
        </w:rPr>
        <w:t xml:space="preserve">января 2025 года ( 7 600,0 тыс. руб) и 0,3 % к плану года  (2 298 104,9 тыс. руб.)</w:t>
      </w:r>
      <w:r>
        <w:rPr>
          <w:color w:val="auto"/>
          <w:sz w:val="28"/>
          <w:szCs w:val="28"/>
          <w:highlight w:val="white"/>
        </w:rPr>
        <w:t xml:space="preserve">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В отчетном периоде срок уплаты не установлен, вместе с тем производятся зачеты образовавшейся переплаты на единый налоговый счет.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iCs/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Задолженность по налогу по состоянию на 01.01.2025 составляет 163 096,7 тыс. руб., в том числе задолженность организаций 180 614,1 тыс. руб., физических лиц 82 482,6 тыс. руб.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Доходы, полу</w:t>
      </w:r>
      <w:r>
        <w:rPr>
          <w:b/>
          <w:color w:val="auto"/>
          <w:sz w:val="28"/>
          <w:szCs w:val="28"/>
          <w:highlight w:val="white"/>
        </w:rPr>
        <w:t xml:space="preserve">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округов, а также средства от продажи права на заключение договоров аренды указанных земельных участков,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rFonts w:eastAsia="Calibri"/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t xml:space="preserve">45 476,1 тыс. руб., что в 2,8 раза больше плана января 2025 года (15 975,0 тыс. руб.) и составляет 11,6% к плану года (393 350,3</w:t>
      </w:r>
      <w:r>
        <w:rPr>
          <w:color w:val="auto"/>
          <w:sz w:val="28"/>
          <w:szCs w:val="28"/>
          <w:highlight w:val="white"/>
        </w:rPr>
        <w:t xml:space="preserve"> тыс. руб.). Относительно аналогичного периода прошлого года поступления по данному виду дохода увеличились в 3,5 раза (на 32 318,3 тыс. руб.). В том числе поступило: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  <w:outlineLvl w:val="0"/>
      </w:pPr>
      <w:r>
        <w:rPr>
          <w:color w:val="auto"/>
          <w:sz w:val="28"/>
          <w:szCs w:val="28"/>
          <w:highlight w:val="white"/>
        </w:rPr>
        <w:t xml:space="preserve">- </w:t>
      </w:r>
      <w:r>
        <w:rPr>
          <w:i/>
          <w:color w:val="auto"/>
          <w:sz w:val="28"/>
          <w:szCs w:val="28"/>
          <w:highlight w:val="white"/>
        </w:rPr>
        <w:t xml:space="preserve">доходов от арендной платы за земельные участки</w:t>
      </w:r>
      <w:r>
        <w:rPr>
          <w:color w:val="auto"/>
          <w:sz w:val="28"/>
          <w:szCs w:val="28"/>
          <w:highlight w:val="white"/>
        </w:rPr>
        <w:t xml:space="preserve"> в сумме 16 999,0 тыс. руб., что в </w:t>
      </w:r>
      <w:r>
        <w:rPr>
          <w:color w:val="auto"/>
          <w:sz w:val="28"/>
          <w:szCs w:val="28"/>
          <w:highlight w:val="white"/>
        </w:rPr>
        <w:t xml:space="preserve">2,3 раза больше установленного на январь плана (7 500,0 тыс. руб.) и больше объема аналогичного периода прошлого года на 1 840,5 тыс. руб.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</w:t>
      </w:r>
      <w:r>
        <w:rPr>
          <w:color w:val="auto"/>
          <w:sz w:val="28"/>
          <w:szCs w:val="28"/>
          <w:highlight w:val="white"/>
        </w:rPr>
        <w:t xml:space="preserve">еревыполнение планового задания января обусловлено поступлением авансовых платежей по срокам уплаты 05.02.2025 и 15.09.2025;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  <w:outlineLvl w:val="0"/>
      </w:pPr>
      <w:r>
        <w:rPr>
          <w:i/>
          <w:color w:val="auto"/>
          <w:sz w:val="28"/>
          <w:szCs w:val="28"/>
          <w:highlight w:val="white"/>
        </w:rPr>
        <w:t xml:space="preserve">-</w:t>
      </w:r>
      <w:r>
        <w:rPr>
          <w:i/>
          <w:color w:val="auto"/>
          <w:sz w:val="28"/>
          <w:szCs w:val="28"/>
          <w:highlight w:val="white"/>
        </w:rPr>
        <w:t xml:space="preserve"> </w:t>
      </w:r>
      <w:r>
        <w:rPr>
          <w:i/>
          <w:color w:val="auto"/>
          <w:sz w:val="28"/>
          <w:szCs w:val="28"/>
          <w:highlight w:val="white"/>
        </w:rPr>
        <w:t xml:space="preserve">средств от реализации права на заключение договоров аренды земельных участков</w:t>
      </w:r>
      <w:r>
        <w:rPr>
          <w:color w:val="auto"/>
          <w:sz w:val="28"/>
          <w:szCs w:val="28"/>
          <w:highlight w:val="white"/>
        </w:rPr>
        <w:t xml:space="preserve"> в сумме 28 477,1 тыс. </w:t>
      </w:r>
      <w:r>
        <w:rPr>
          <w:color w:val="auto"/>
          <w:sz w:val="28"/>
          <w:szCs w:val="28"/>
          <w:highlight w:val="white"/>
        </w:rPr>
        <w:t xml:space="preserve">руб.</w:t>
      </w:r>
      <w:r>
        <w:rPr>
          <w:color w:val="auto"/>
          <w:sz w:val="28"/>
          <w:szCs w:val="28"/>
          <w:highlight w:val="white"/>
        </w:rPr>
        <w:t xml:space="preserve"> </w:t>
      </w:r>
      <w:bookmarkStart w:id="0" w:name="undefined"/>
      <w:r>
        <w:rPr>
          <w:color w:val="auto"/>
          <w:sz w:val="28"/>
          <w:szCs w:val="28"/>
          <w:highlight w:val="white"/>
        </w:rPr>
      </w:r>
      <w:bookmarkEnd w:id="0"/>
      <w:r>
        <w:rPr>
          <w:color w:val="auto"/>
          <w:sz w:val="28"/>
          <w:szCs w:val="28"/>
          <w:highlight w:val="white"/>
        </w:rPr>
        <w:t xml:space="preserve">Плановое </w:t>
      </w:r>
      <w:r>
        <w:rPr>
          <w:color w:val="auto"/>
          <w:sz w:val="28"/>
          <w:szCs w:val="28"/>
          <w:highlight w:val="white"/>
        </w:rPr>
        <w:t xml:space="preserve">задание на январь 2025 года  в сумме </w:t>
      </w:r>
      <w:r>
        <w:rPr>
          <w:color w:val="auto"/>
          <w:sz w:val="28"/>
          <w:szCs w:val="28"/>
          <w:highlight w:val="white"/>
        </w:rPr>
        <w:t xml:space="preserve">8 475,0 тыс. руб. перевыполнено в 3,4 раза </w:t>
      </w:r>
      <w:r>
        <w:rPr>
          <w:color w:val="auto"/>
          <w:sz w:val="28"/>
          <w:szCs w:val="28"/>
          <w:highlight w:val="white"/>
        </w:rPr>
        <w:t xml:space="preserve">в связи с поступлением денежных средств по итогам аукци</w:t>
      </w:r>
      <w:r>
        <w:rPr>
          <w:color w:val="auto"/>
          <w:sz w:val="28"/>
          <w:szCs w:val="28"/>
          <w:highlight w:val="white"/>
        </w:rPr>
        <w:t xml:space="preserve">она, на котором было реализовано право на заключение договоров аренды земельных участков для строительства объектов производственного и складского назначения по ул. Промышленной , 135Б и 135В, состоявшегося 26 декабря 2024 года, в сумме 29 201,2 тыс. руб.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rPr>
          <w:b/>
          <w:color w:val="auto"/>
          <w:sz w:val="28"/>
          <w:szCs w:val="28"/>
          <w:highlight w:val="yellow"/>
        </w:rPr>
      </w:pP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8"/>
          <w:szCs w:val="28"/>
          <w:highlight w:val="yellow"/>
        </w:rPr>
      </w:r>
    </w:p>
    <w:p>
      <w:pPr>
        <w:ind w:firstLine="709"/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Доходы, получаемые в виде арендной платы, </w:t>
      </w:r>
      <w:r>
        <w:rPr>
          <w:b/>
          <w:color w:val="auto"/>
          <w:sz w:val="28"/>
          <w:szCs w:val="28"/>
          <w:highlight w:val="white"/>
        </w:rPr>
        <w:t xml:space="preserve">за земли, находящиеся </w:t>
      </w:r>
      <w:r>
        <w:rPr>
          <w:b/>
          <w:color w:val="auto"/>
          <w:sz w:val="28"/>
          <w:szCs w:val="28"/>
          <w:highlight w:val="white"/>
        </w:rPr>
        <w:br/>
        <w:t xml:space="preserve">в собственности городских округов</w:t>
      </w:r>
      <w:r>
        <w:rPr>
          <w:color w:val="auto"/>
          <w:sz w:val="28"/>
          <w:szCs w:val="28"/>
          <w:highlight w:val="white"/>
        </w:rPr>
        <w:t xml:space="preserve">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rFonts w:eastAsia="Calibri"/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поступили в сумме 58,8 тыс. руб., что составляет 16,3</w:t>
      </w:r>
      <w:r>
        <w:rPr>
          <w:color w:val="auto"/>
          <w:sz w:val="28"/>
          <w:szCs w:val="28"/>
          <w:highlight w:val="white"/>
        </w:rPr>
        <w:t xml:space="preserve">%  от лана января 2025 года (361,0 тыс. руб.) и 0,1% к плану года (53 573,9 тыс. руб.). Поступление </w:t>
      </w:r>
      <w:r>
        <w:rPr>
          <w:i/>
          <w:iCs/>
          <w:color w:val="auto"/>
          <w:sz w:val="28"/>
          <w:szCs w:val="28"/>
          <w:highlight w:val="white"/>
        </w:rPr>
        <w:t xml:space="preserve">средств от продажи права на заключение договоров аренды </w:t>
      </w:r>
      <w:r>
        <w:rPr>
          <w:i/>
          <w:iCs/>
          <w:color w:val="auto"/>
          <w:sz w:val="28"/>
          <w:szCs w:val="28"/>
          <w:highlight w:val="white"/>
        </w:rPr>
        <w:t xml:space="preserve">земельных участков, находящихся в муниципальной собственности</w:t>
      </w:r>
      <w:r>
        <w:rPr>
          <w:color w:val="auto"/>
          <w:sz w:val="28"/>
          <w:szCs w:val="28"/>
          <w:highlight w:val="white"/>
        </w:rPr>
        <w:t xml:space="preserve">, в январе 2025 года не запланировано.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b/>
          <w:color w:val="auto"/>
          <w:sz w:val="28"/>
          <w:szCs w:val="28"/>
          <w:highlight w:val="yellow"/>
        </w:rPr>
        <w:outlineLvl w:val="0"/>
      </w:pPr>
      <w:r>
        <w:rPr>
          <w:rFonts w:eastAsia="Calibri"/>
          <w:b/>
          <w:color w:val="auto"/>
          <w:sz w:val="28"/>
          <w:szCs w:val="28"/>
          <w:highlight w:val="yellow"/>
        </w:rPr>
      </w:r>
      <w:r>
        <w:rPr>
          <w:rFonts w:eastAsia="Calibri"/>
          <w:b/>
          <w:color w:val="auto"/>
          <w:sz w:val="28"/>
          <w:szCs w:val="28"/>
          <w:highlight w:val="yellow"/>
        </w:rPr>
      </w:r>
      <w:r>
        <w:rPr>
          <w:rFonts w:eastAsia="Calibri"/>
          <w:b/>
          <w:color w:val="auto"/>
          <w:sz w:val="28"/>
          <w:szCs w:val="28"/>
          <w:highlight w:val="yellow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b/>
          <w:bCs/>
          <w:color w:val="auto"/>
          <w:sz w:val="28"/>
          <w:szCs w:val="28"/>
          <w:highlight w:val="white"/>
        </w:r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  <w:t xml:space="preserve">П</w:t>
      </w:r>
      <w:r>
        <w:rPr>
          <w:b/>
          <w:bCs/>
          <w:color w:val="auto"/>
          <w:sz w:val="28"/>
          <w:szCs w:val="28"/>
          <w:highlight w:val="none"/>
        </w:rPr>
        <w:t xml:space="preserve"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</w:t>
      </w:r>
      <w:r>
        <w:rPr>
          <w:b/>
          <w:bCs/>
          <w:color w:val="auto"/>
          <w:sz w:val="28"/>
          <w:szCs w:val="28"/>
          <w:highlight w:val="none"/>
        </w:rPr>
        <w:t xml:space="preserve">зенных)</w:t>
      </w:r>
      <w:r>
        <w:rPr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поступили в сумме 10 580,9</w:t>
      </w:r>
      <w:r>
        <w:rPr>
          <w:color w:val="auto"/>
          <w:sz w:val="28"/>
          <w:szCs w:val="28"/>
          <w:highlight w:val="white"/>
        </w:rPr>
        <w:t xml:space="preserve"> тыс. руб., что составляет </w:t>
      </w:r>
      <w:r>
        <w:rPr>
          <w:color w:val="auto"/>
          <w:sz w:val="28"/>
          <w:szCs w:val="28"/>
          <w:highlight w:val="white"/>
        </w:rPr>
        <w:t xml:space="preserve">124,7</w:t>
      </w:r>
      <w:r>
        <w:rPr>
          <w:color w:val="auto"/>
          <w:sz w:val="28"/>
          <w:szCs w:val="28"/>
          <w:highlight w:val="white"/>
        </w:rPr>
        <w:t xml:space="preserve">% к плану января 202</w:t>
      </w:r>
      <w:r>
        <w:rPr>
          <w:color w:val="auto"/>
          <w:sz w:val="28"/>
          <w:szCs w:val="28"/>
          <w:highlight w:val="white"/>
        </w:rPr>
        <w:t xml:space="preserve">5 года (</w:t>
      </w:r>
      <w:r>
        <w:rPr>
          <w:color w:val="auto"/>
          <w:sz w:val="28"/>
          <w:szCs w:val="28"/>
          <w:highlight w:val="white"/>
        </w:rPr>
        <w:t xml:space="preserve">8 488,1</w:t>
      </w:r>
      <w:r>
        <w:rPr>
          <w:color w:val="auto"/>
          <w:sz w:val="28"/>
          <w:szCs w:val="28"/>
          <w:highlight w:val="white"/>
        </w:rPr>
        <w:t xml:space="preserve"> тыс. руб.) и </w:t>
      </w:r>
      <w:r>
        <w:rPr>
          <w:color w:val="auto"/>
          <w:sz w:val="28"/>
          <w:szCs w:val="28"/>
          <w:highlight w:val="white"/>
        </w:rPr>
        <w:t xml:space="preserve">5,7</w:t>
      </w:r>
      <w:r>
        <w:rPr>
          <w:color w:val="auto"/>
          <w:sz w:val="28"/>
          <w:szCs w:val="28"/>
          <w:highlight w:val="white"/>
        </w:rPr>
        <w:t xml:space="preserve">% к плану го</w:t>
      </w:r>
      <w:r>
        <w:rPr>
          <w:color w:val="auto"/>
          <w:sz w:val="28"/>
          <w:szCs w:val="28"/>
          <w:highlight w:val="white"/>
        </w:rPr>
        <w:t xml:space="preserve">да (</w:t>
      </w:r>
      <w:r>
        <w:rPr>
          <w:color w:val="auto"/>
          <w:sz w:val="28"/>
          <w:szCs w:val="28"/>
          <w:highlight w:val="white"/>
        </w:rPr>
        <w:t xml:space="preserve">185 836,2</w:t>
      </w:r>
      <w:r>
        <w:rPr>
          <w:color w:val="auto"/>
          <w:sz w:val="28"/>
          <w:szCs w:val="28"/>
          <w:highlight w:val="white"/>
        </w:rPr>
        <w:t xml:space="preserve"> тыс. </w:t>
      </w:r>
      <w:r>
        <w:rPr>
          <w:color w:val="auto"/>
          <w:sz w:val="28"/>
          <w:szCs w:val="28"/>
          <w:highlight w:val="white"/>
        </w:rPr>
        <w:t xml:space="preserve">руб.). Относительно аналогичного периода прошлого года поступления по данному виду дохода составили 78,4</w:t>
      </w:r>
      <w:r>
        <w:rPr>
          <w:color w:val="auto"/>
          <w:sz w:val="28"/>
          <w:szCs w:val="28"/>
          <w:highlight w:val="white"/>
        </w:rPr>
        <w:t xml:space="preserve"> %.  В том числе:</w:t>
      </w:r>
      <w:r>
        <w:rPr>
          <w:b/>
          <w:bCs/>
          <w:color w:val="auto"/>
          <w:sz w:val="28"/>
          <w:szCs w:val="28"/>
          <w:highlight w:val="white"/>
        </w:rPr>
      </w:r>
      <w:r>
        <w:rPr>
          <w:b/>
          <w:bCs/>
          <w:color w:val="auto"/>
          <w:sz w:val="28"/>
          <w:szCs w:val="28"/>
          <w:highlight w:val="whit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auto"/>
          <w:sz w:val="28"/>
          <w:szCs w:val="28"/>
          <w:highlight w:val="none"/>
        </w:rPr>
      </w:pPr>
      <w:r>
        <w:rPr>
          <w:b/>
          <w:i w:val="0"/>
          <w:iCs w:val="0"/>
          <w:color w:val="auto"/>
          <w:sz w:val="28"/>
          <w:szCs w:val="28"/>
        </w:rPr>
        <w:t xml:space="preserve">Доходы по договорам на размещение рекламных конструкций</w:t>
      </w:r>
      <w:r>
        <w:rPr>
          <w:i w:val="0"/>
          <w:iCs w:val="0"/>
          <w:color w:val="auto"/>
          <w:sz w:val="28"/>
          <w:szCs w:val="28"/>
        </w:rPr>
        <w:t xml:space="preserve">, </w:t>
      </w:r>
      <w:r>
        <w:rPr>
          <w:i/>
          <w:color w:val="auto"/>
          <w:sz w:val="28"/>
          <w:szCs w:val="28"/>
        </w:rPr>
        <w:t xml:space="preserve">администрируемые департаментом экономики и промышленной политики</w:t>
      </w:r>
      <w:r>
        <w:rPr>
          <w:color w:val="auto"/>
          <w:sz w:val="28"/>
          <w:szCs w:val="28"/>
        </w:rPr>
        <w:t xml:space="preserve">, поступили в сумме </w:t>
      </w:r>
      <w:r>
        <w:rPr>
          <w:color w:val="auto"/>
          <w:sz w:val="28"/>
          <w:szCs w:val="28"/>
        </w:rPr>
        <w:t xml:space="preserve">4 666,6 тыс. руб. или 115,8% к плану </w:t>
      </w:r>
      <w:r>
        <w:rPr>
          <w:rFonts w:eastAsia="Calibri"/>
          <w:color w:val="auto"/>
          <w:sz w:val="28"/>
          <w:szCs w:val="28"/>
        </w:rPr>
        <w:t xml:space="preserve">января </w:t>
      </w:r>
      <w:r>
        <w:rPr>
          <w:color w:val="auto"/>
          <w:sz w:val="28"/>
          <w:szCs w:val="28"/>
        </w:rPr>
        <w:t xml:space="preserve">(4 031,6 тыс. руб.) и 4,5% к плану года (104 746,7 тыс. руб.).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Перевыполнение плана связано с поступлением авансовых платежей за февраль 2025 года.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rPr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 xml:space="preserve">Доходы по договорам на размещение нестационарных объектов</w:t>
      </w:r>
      <w:r>
        <w:rPr>
          <w:i w:val="0"/>
          <w:iCs w:val="0"/>
          <w:color w:val="auto"/>
          <w:sz w:val="28"/>
          <w:szCs w:val="28"/>
        </w:rPr>
        <w:t xml:space="preserve">, </w:t>
      </w:r>
      <w:r>
        <w:rPr>
          <w:i/>
          <w:color w:val="auto"/>
          <w:sz w:val="28"/>
          <w:szCs w:val="28"/>
        </w:rPr>
        <w:t xml:space="preserve">администрируемые департаментом экономики и промышленной политики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поступили в сумме 568,6 тыс. руб., что в 6,7 раза превышает план </w:t>
      </w:r>
      <w:r>
        <w:rPr>
          <w:rFonts w:eastAsia="Calibri"/>
          <w:color w:val="auto"/>
          <w:sz w:val="28"/>
          <w:szCs w:val="28"/>
        </w:rPr>
        <w:t xml:space="preserve">января</w:t>
      </w:r>
      <w:r>
        <w:rPr>
          <w:color w:val="auto"/>
          <w:sz w:val="28"/>
          <w:szCs w:val="28"/>
        </w:rPr>
        <w:t xml:space="preserve"> (85,1 тыс. руб.</w:t>
      </w:r>
      <w:r>
        <w:rPr>
          <w:color w:val="auto"/>
          <w:sz w:val="28"/>
          <w:szCs w:val="28"/>
        </w:rPr>
        <w:t xml:space="preserve">) и составляет 5,1% к плану года (11 046,9 тыс. руб.).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Перевыполнение плана по указанным доходам обусловлено поступлением авансовых платежей, а также задолженности по договорам на размещение нестационарных торговых объектов.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color w:val="auto"/>
          <w:sz w:val="28"/>
          <w:szCs w:val="28"/>
          <w:highlight w:val="yellow"/>
        </w:rPr>
        <w:outlineLvl w:val="0"/>
      </w:pPr>
      <w:r>
        <w:rPr>
          <w:rFonts w:eastAsia="Calibri"/>
          <w:color w:val="auto"/>
          <w:sz w:val="28"/>
          <w:szCs w:val="28"/>
          <w:highlight w:val="yellow"/>
        </w:rPr>
      </w:r>
      <w:r>
        <w:rPr>
          <w:rFonts w:eastAsia="Calibri"/>
          <w:color w:val="auto"/>
          <w:sz w:val="28"/>
          <w:szCs w:val="28"/>
          <w:highlight w:val="yellow"/>
        </w:rPr>
      </w:r>
      <w:r>
        <w:rPr>
          <w:rFonts w:eastAsia="Calibri"/>
          <w:color w:val="auto"/>
          <w:sz w:val="28"/>
          <w:szCs w:val="28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оказания платных услуг (работ) и компенсации затрат государства,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t xml:space="preserve">391 298,6</w:t>
      </w:r>
      <w:r>
        <w:rPr>
          <w:color w:val="auto"/>
          <w:sz w:val="28"/>
          <w:szCs w:val="28"/>
          <w:highlight w:val="white"/>
        </w:rPr>
        <w:t xml:space="preserve"> тыс. руб., что составляет </w:t>
      </w:r>
      <w:r>
        <w:rPr>
          <w:color w:val="auto"/>
          <w:sz w:val="28"/>
          <w:szCs w:val="28"/>
          <w:highlight w:val="white"/>
        </w:rPr>
        <w:t xml:space="preserve">98,6</w:t>
      </w:r>
      <w:r>
        <w:rPr>
          <w:color w:val="auto"/>
          <w:sz w:val="28"/>
          <w:szCs w:val="28"/>
          <w:highlight w:val="white"/>
        </w:rPr>
        <w:t xml:space="preserve">% к плану января 202</w:t>
      </w:r>
      <w:r>
        <w:rPr>
          <w:color w:val="auto"/>
          <w:sz w:val="28"/>
          <w:szCs w:val="28"/>
          <w:highlight w:val="white"/>
        </w:rPr>
        <w:t xml:space="preserve">5 года (</w:t>
      </w:r>
      <w:r>
        <w:rPr>
          <w:color w:val="auto"/>
          <w:sz w:val="28"/>
          <w:szCs w:val="28"/>
          <w:highlight w:val="white"/>
        </w:rPr>
        <w:t xml:space="preserve">396 982,0 </w:t>
      </w:r>
      <w:r>
        <w:rPr>
          <w:color w:val="auto"/>
          <w:sz w:val="28"/>
          <w:szCs w:val="28"/>
          <w:highlight w:val="white"/>
        </w:rPr>
        <w:t xml:space="preserve">тыс. руб.) и </w:t>
      </w:r>
      <w:r>
        <w:rPr>
          <w:color w:val="auto"/>
          <w:sz w:val="28"/>
          <w:szCs w:val="28"/>
          <w:highlight w:val="white"/>
        </w:rPr>
        <w:t xml:space="preserve">7,0</w:t>
      </w:r>
      <w:r>
        <w:rPr>
          <w:color w:val="auto"/>
          <w:sz w:val="28"/>
          <w:szCs w:val="28"/>
          <w:highlight w:val="white"/>
        </w:rPr>
        <w:t xml:space="preserve">% к плану го</w:t>
      </w:r>
      <w:r>
        <w:rPr>
          <w:color w:val="auto"/>
          <w:sz w:val="28"/>
          <w:szCs w:val="28"/>
          <w:highlight w:val="white"/>
        </w:rPr>
        <w:t xml:space="preserve">да (</w:t>
      </w:r>
      <w:r>
        <w:rPr>
          <w:color w:val="auto"/>
          <w:sz w:val="28"/>
          <w:szCs w:val="28"/>
          <w:highlight w:val="white"/>
        </w:rPr>
        <w:t xml:space="preserve">5 596 410,4</w:t>
      </w:r>
      <w:r>
        <w:rPr>
          <w:color w:val="auto"/>
          <w:sz w:val="28"/>
          <w:szCs w:val="28"/>
          <w:highlight w:val="white"/>
        </w:rPr>
        <w:t xml:space="preserve"> тыс. </w:t>
      </w:r>
      <w:r>
        <w:rPr>
          <w:color w:val="auto"/>
          <w:sz w:val="28"/>
          <w:szCs w:val="28"/>
          <w:highlight w:val="white"/>
        </w:rPr>
        <w:t xml:space="preserve">руб.). Относительно аналогичного периода прошлого года поступления по данному виду дохода составили 105,3</w:t>
      </w:r>
      <w:r>
        <w:rPr>
          <w:color w:val="auto"/>
          <w:sz w:val="28"/>
          <w:szCs w:val="28"/>
          <w:highlight w:val="white"/>
        </w:rPr>
        <w:t xml:space="preserve">%.  В том числе: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  <w14:ligatures w14:val="none"/>
        </w:rPr>
      </w:pPr>
      <w:r>
        <w:rPr>
          <w:i/>
          <w:color w:val="auto"/>
          <w:sz w:val="28"/>
          <w:szCs w:val="28"/>
          <w:highlight w:val="white"/>
        </w:rPr>
        <w:t xml:space="preserve">- средства от реализации проездных документов отдельным категориям граждан города Перми, администрируемые департаментом транспорта,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t xml:space="preserve">54 752,7</w:t>
      </w:r>
      <w:r>
        <w:rPr>
          <w:color w:val="auto"/>
          <w:sz w:val="28"/>
          <w:szCs w:val="28"/>
          <w:highlight w:val="white"/>
        </w:rPr>
        <w:t xml:space="preserve"> тыс. руб., или 90,2% к плану января 2025 года</w:t>
      </w:r>
      <w:r>
        <w:rPr>
          <w:color w:val="auto"/>
          <w:sz w:val="28"/>
          <w:szCs w:val="28"/>
          <w:highlight w:val="white"/>
        </w:rPr>
        <w:br/>
        <w:t xml:space="preserve"> (</w:t>
      </w:r>
      <w:r>
        <w:rPr>
          <w:color w:val="auto"/>
          <w:sz w:val="28"/>
          <w:szCs w:val="28"/>
          <w:highlight w:val="white"/>
        </w:rPr>
        <w:t xml:space="preserve">60 712,0</w:t>
      </w:r>
      <w:r>
        <w:rPr>
          <w:color w:val="auto"/>
          <w:sz w:val="28"/>
          <w:szCs w:val="28"/>
          <w:highlight w:val="white"/>
        </w:rPr>
        <w:t xml:space="preserve"> тыс. руб.) и 8,4% к плану года (</w:t>
      </w:r>
      <w:r>
        <w:rPr>
          <w:color w:val="auto"/>
          <w:sz w:val="28"/>
          <w:szCs w:val="28"/>
          <w:highlight w:val="white"/>
        </w:rPr>
        <w:t xml:space="preserve">653 882,1</w:t>
      </w:r>
      <w:r>
        <w:rPr>
          <w:color w:val="auto"/>
          <w:sz w:val="28"/>
          <w:szCs w:val="28"/>
          <w:highlight w:val="white"/>
        </w:rPr>
        <w:t xml:space="preserve"> тыс. руб.).</w:t>
      </w:r>
      <w:r>
        <w:rPr>
          <w:color w:val="auto"/>
          <w:sz w:val="28"/>
          <w:szCs w:val="28"/>
          <w:highlight w:val="white"/>
          <w14:ligatures w14:val="none"/>
        </w:rPr>
      </w:r>
      <w:r>
        <w:rPr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  <w14:ligatures w14:val="none"/>
        </w:rPr>
      </w:pPr>
      <w:r>
        <w:rPr>
          <w:color w:val="auto"/>
          <w:sz w:val="28"/>
          <w:szCs w:val="28"/>
          <w:highlight w:val="white"/>
        </w:rPr>
        <w:t xml:space="preserve"> </w:t>
      </w:r>
      <w:r>
        <w:rPr>
          <w:i/>
          <w:color w:val="auto"/>
          <w:sz w:val="28"/>
          <w:szCs w:val="28"/>
          <w:highlight w:val="white"/>
        </w:rPr>
        <w:t xml:space="preserve">-средства от реализации единых проездных документов, администрируемые департаментом транспорта,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t xml:space="preserve">45 268,3</w:t>
      </w:r>
      <w:r>
        <w:rPr>
          <w:color w:val="auto"/>
          <w:sz w:val="28"/>
          <w:szCs w:val="28"/>
          <w:highlight w:val="white"/>
        </w:rPr>
        <w:t xml:space="preserve"> тыс. руб., или 106,0% к плану января 2025 года (</w:t>
      </w:r>
      <w:r>
        <w:rPr>
          <w:color w:val="auto"/>
          <w:sz w:val="28"/>
          <w:szCs w:val="28"/>
          <w:highlight w:val="white"/>
        </w:rPr>
        <w:t xml:space="preserve">42 724,9</w:t>
      </w:r>
      <w:r>
        <w:rPr>
          <w:color w:val="auto"/>
          <w:sz w:val="28"/>
          <w:szCs w:val="28"/>
          <w:highlight w:val="white"/>
        </w:rPr>
        <w:t xml:space="preserve"> тыс. руб.) и 10,7% к плану года (</w:t>
      </w:r>
      <w:r>
        <w:rPr>
          <w:color w:val="auto"/>
          <w:sz w:val="28"/>
          <w:szCs w:val="28"/>
          <w:highlight w:val="white"/>
        </w:rPr>
        <w:t xml:space="preserve">423 200,8</w:t>
      </w:r>
      <w:r>
        <w:rPr>
          <w:color w:val="auto"/>
          <w:sz w:val="28"/>
          <w:szCs w:val="28"/>
          <w:highlight w:val="white"/>
        </w:rPr>
        <w:t xml:space="preserve"> тыс. руб.).</w:t>
      </w:r>
      <w:r>
        <w:rPr>
          <w:color w:val="auto"/>
          <w:sz w:val="28"/>
          <w:szCs w:val="28"/>
          <w:highlight w:val="white"/>
          <w14:ligatures w14:val="none"/>
        </w:rPr>
      </w:r>
      <w:r>
        <w:rPr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  <w14:ligatures w14:val="none"/>
        </w:rPr>
      </w:pPr>
      <w:r>
        <w:rPr>
          <w:i/>
          <w:color w:val="auto"/>
          <w:sz w:val="28"/>
          <w:szCs w:val="28"/>
          <w:highlight w:val="white"/>
        </w:rPr>
        <w:t xml:space="preserve">- средства от перечисления платы за проезд пассажиров и провоз багажа, администрируемые департаментом транспорта</w:t>
      </w:r>
      <w:r>
        <w:rPr>
          <w:color w:val="auto"/>
          <w:sz w:val="28"/>
          <w:szCs w:val="28"/>
          <w:highlight w:val="white"/>
        </w:rPr>
        <w:t xml:space="preserve">, поступили в сумме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281 385,2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тыс. руб., или 95,9% к плану января 2025 года (</w:t>
      </w:r>
      <w:r>
        <w:rPr>
          <w:color w:val="auto"/>
          <w:sz w:val="28"/>
          <w:szCs w:val="28"/>
          <w:highlight w:val="white"/>
        </w:rPr>
        <w:t xml:space="preserve">293 365,1</w:t>
      </w:r>
      <w:r>
        <w:rPr>
          <w:color w:val="auto"/>
          <w:sz w:val="28"/>
          <w:szCs w:val="28"/>
          <w:highlight w:val="white"/>
        </w:rPr>
        <w:t xml:space="preserve"> тыс. руб.) и 6,2% к плану года (</w:t>
      </w:r>
      <w:r>
        <w:rPr>
          <w:color w:val="auto"/>
          <w:sz w:val="28"/>
          <w:szCs w:val="28"/>
          <w:highlight w:val="white"/>
        </w:rPr>
        <w:t xml:space="preserve">4 515 290,6</w:t>
      </w:r>
      <w:r>
        <w:rPr>
          <w:color w:val="auto"/>
          <w:sz w:val="28"/>
          <w:szCs w:val="28"/>
          <w:highlight w:val="white"/>
        </w:rPr>
        <w:t xml:space="preserve"> тыс. руб.)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  <w14:ligatures w14:val="none"/>
        </w:rPr>
      </w:r>
      <w:r>
        <w:rPr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целом по доходам от платы за проезд выполнение составило 96,1% плана месяца.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ff0000"/>
          <w:sz w:val="28"/>
          <w:szCs w:val="28"/>
          <w:highlight w:val="none"/>
        </w:rPr>
      </w:pP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фактически,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rFonts w:eastAsia="Calibri"/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поступили в сумме 2 803,7 тыс. руб., что составляет 125,7% к плану отчетного периода (2 230,0 тыс. руб.) и 1,4% к плану года (202 788,7 тыс. руб.).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Поступление средств от продажи земельных участков носит заявительный характер.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b/>
          <w:color w:val="auto"/>
          <w:sz w:val="28"/>
          <w:szCs w:val="28"/>
          <w:highlight w:val="yellow"/>
        </w:rPr>
      </w:pP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8"/>
          <w:szCs w:val="28"/>
          <w:highlight w:val="yellow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платы за увеличение площади з</w:t>
      </w:r>
      <w:r>
        <w:rPr>
          <w:b/>
          <w:color w:val="auto"/>
          <w:sz w:val="28"/>
          <w:szCs w:val="28"/>
          <w:highlight w:val="white"/>
        </w:rPr>
        <w:t xml:space="preserve">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color w:val="auto"/>
          <w:sz w:val="28"/>
          <w:szCs w:val="28"/>
          <w:highlight w:val="white"/>
        </w:rPr>
        <w:t xml:space="preserve">, поступили в размере 2 963,1 тыс. руб., что составляет 102,2% плана января 2025 года (2 900,0 тыс. руб.) и 3,1% к утвержденному плану года (96 901,9 тыс. </w:t>
      </w:r>
      <w:r>
        <w:rPr>
          <w:color w:val="auto"/>
          <w:sz w:val="28"/>
          <w:szCs w:val="28"/>
          <w:highlight w:val="white"/>
        </w:rPr>
        <w:t xml:space="preserve">руб.).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По сравнению с аналогичным периодом прошлого года поступления уменьшились на 9 342,8 тыс. руб. </w:t>
      </w:r>
      <w:r>
        <w:rPr>
          <w:color w:val="auto"/>
          <w:sz w:val="28"/>
          <w:szCs w:val="28"/>
          <w:highlight w:val="white"/>
        </w:rPr>
        <w:t xml:space="preserve">Поступление средств от продажи земельных участков носит заявительный характер.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pStyle w:val="942"/>
        <w:numPr>
          <w:ilvl w:val="0"/>
          <w:numId w:val="38"/>
        </w:numPr>
        <w:jc w:val="center"/>
        <w:spacing w:line="240" w:lineRule="atLeas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ИСПОЛНЕНИЕ БЮДЖЕТА ПО РАСХОДАМ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42"/>
        <w:ind w:firstLine="360"/>
        <w:jc w:val="center"/>
        <w:spacing w:line="240" w:lineRule="atLeast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приложение 2 </w:t>
      </w:r>
      <w:r>
        <w:rPr>
          <w:sz w:val="28"/>
          <w:szCs w:val="28"/>
          <w:highlight w:val="white"/>
        </w:rPr>
        <w:t xml:space="preserve">к настоящей записке)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709"/>
        <w:spacing w:line="240" w:lineRule="auto"/>
        <w:tabs>
          <w:tab w:val="left" w:pos="793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Кассовый расход бюджета (без учёта зарезервированных средств: на исполнение судебных исков, резервного фонда администрации города) на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 </w:t>
      </w:r>
      <w:r>
        <w:rPr>
          <w:sz w:val="28"/>
          <w:szCs w:val="28"/>
          <w:highlight w:val="white"/>
        </w:rPr>
        <w:t xml:space="preserve">февраля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года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составил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2 210 930,7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руб., или </w:t>
      </w:r>
      <w:r>
        <w:rPr>
          <w:b/>
          <w:sz w:val="28"/>
          <w:szCs w:val="28"/>
          <w:highlight w:val="white"/>
        </w:rPr>
        <w:t xml:space="preserve">88,0% </w:t>
      </w:r>
      <w:r>
        <w:rPr>
          <w:sz w:val="28"/>
          <w:szCs w:val="28"/>
          <w:highlight w:val="white"/>
        </w:rPr>
        <w:t xml:space="preserve">от кассового</w:t>
      </w:r>
      <w:r>
        <w:rPr>
          <w:sz w:val="28"/>
          <w:szCs w:val="28"/>
          <w:highlight w:val="white"/>
        </w:rPr>
        <w:t xml:space="preserve"> плана отчетного периода</w:t>
      </w:r>
      <w:r>
        <w:rPr>
          <w:color w:val="ff0000"/>
          <w:sz w:val="28"/>
          <w:szCs w:val="28"/>
          <w:highlight w:val="white"/>
        </w:rPr>
        <w:t xml:space="preserve">               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2 513 034,6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руб.)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3,7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годовых</w:t>
      </w:r>
      <w:r>
        <w:rPr>
          <w:sz w:val="28"/>
          <w:szCs w:val="28"/>
          <w:highlight w:val="white"/>
        </w:rPr>
        <w:t xml:space="preserve"> ассигнований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(60 203 979,1 </w:t>
      </w:r>
      <w:r>
        <w:rPr>
          <w:sz w:val="28"/>
          <w:szCs w:val="28"/>
          <w:highlight w:val="white"/>
        </w:rPr>
        <w:t xml:space="preserve">тыс. руб.).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Исполнение по расходам за </w:t>
      </w:r>
      <w:r>
        <w:rPr>
          <w:sz w:val="28"/>
          <w:szCs w:val="28"/>
          <w:highlight w:val="white"/>
        </w:rPr>
        <w:t xml:space="preserve">январ</w:t>
      </w:r>
      <w:r>
        <w:rPr>
          <w:sz w:val="28"/>
          <w:szCs w:val="28"/>
          <w:highlight w:val="white"/>
        </w:rPr>
        <w:t xml:space="preserve">ь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4 года составляло </w:t>
      </w:r>
      <w:r>
        <w:rPr>
          <w:sz w:val="28"/>
          <w:szCs w:val="28"/>
          <w:highlight w:val="white"/>
        </w:rPr>
        <w:t xml:space="preserve">1 528 761,7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тыс.руб.,</w:t>
      </w:r>
      <w:r>
        <w:rPr>
          <w:sz w:val="28"/>
          <w:szCs w:val="28"/>
          <w:highlight w:val="white"/>
        </w:rPr>
        <w:t xml:space="preserve">                         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78,6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кассового</w:t>
      </w:r>
      <w:r>
        <w:rPr>
          <w:sz w:val="28"/>
          <w:szCs w:val="28"/>
          <w:highlight w:val="white"/>
        </w:rPr>
        <w:t xml:space="preserve"> плана отчетного периода 202</w:t>
      </w:r>
      <w:r>
        <w:rPr>
          <w:sz w:val="28"/>
          <w:szCs w:val="28"/>
          <w:highlight w:val="white"/>
        </w:rPr>
        <w:t xml:space="preserve">4 года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3,0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годовых</w:t>
      </w:r>
      <w:r>
        <w:rPr>
          <w:sz w:val="28"/>
          <w:szCs w:val="28"/>
          <w:highlight w:val="white"/>
        </w:rPr>
        <w:t xml:space="preserve"> ассигнований.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spacing w:line="240" w:lineRule="auto"/>
        <w:rPr>
          <w:color w:val="c00000"/>
          <w:sz w:val="28"/>
          <w:szCs w:val="28"/>
          <w:highlight w:val="white"/>
        </w:rPr>
      </w:pPr>
      <w:r>
        <w:rPr>
          <w:color w:val="c00000"/>
          <w:sz w:val="28"/>
          <w:szCs w:val="28"/>
          <w:highlight w:val="white"/>
        </w:rPr>
        <w:t xml:space="preserve">       </w:t>
      </w:r>
      <w:r>
        <w:rPr>
          <w:color w:val="c00000"/>
          <w:sz w:val="28"/>
          <w:szCs w:val="28"/>
          <w:highlight w:val="white"/>
        </w:rPr>
      </w:r>
      <w:r>
        <w:rPr>
          <w:color w:val="c00000"/>
          <w:sz w:val="28"/>
          <w:szCs w:val="28"/>
          <w:highlight w:val="white"/>
        </w:rPr>
      </w:r>
    </w:p>
    <w:p>
      <w:pPr>
        <w:pStyle w:val="942"/>
        <w:ind w:firstLine="709"/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Расходная часть бюджета за </w:t>
      </w:r>
      <w:r>
        <w:rPr>
          <w:sz w:val="28"/>
          <w:szCs w:val="28"/>
          <w:highlight w:val="white"/>
        </w:rPr>
        <w:t xml:space="preserve">январ</w:t>
      </w:r>
      <w:r>
        <w:rPr>
          <w:sz w:val="28"/>
          <w:szCs w:val="28"/>
          <w:highlight w:val="white"/>
        </w:rPr>
        <w:t xml:space="preserve">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года в разрезе источников финансирования исполнена следующим образом.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709"/>
        <w:spacing w:line="240" w:lineRule="atLeast"/>
        <w:rPr>
          <w:color w:val="ff0000"/>
          <w:sz w:val="20"/>
          <w:szCs w:val="16"/>
          <w:highlight w:val="white"/>
        </w:rPr>
      </w:pPr>
      <w:r>
        <w:rPr>
          <w:color w:val="ff0000"/>
          <w:sz w:val="20"/>
          <w:szCs w:val="16"/>
          <w:highlight w:val="white"/>
        </w:rPr>
      </w:r>
      <w:r>
        <w:rPr>
          <w:color w:val="ff0000"/>
          <w:sz w:val="20"/>
          <w:szCs w:val="16"/>
          <w:highlight w:val="white"/>
        </w:rPr>
      </w:r>
      <w:r>
        <w:rPr>
          <w:color w:val="ff0000"/>
          <w:sz w:val="20"/>
          <w:szCs w:val="16"/>
          <w:highlight w:val="white"/>
        </w:rPr>
      </w:r>
    </w:p>
    <w:p>
      <w:pPr>
        <w:pStyle w:val="942"/>
        <w:ind w:firstLine="709"/>
        <w:spacing w:line="240" w:lineRule="atLeast"/>
        <w:rPr>
          <w:b/>
          <w:bCs/>
          <w:sz w:val="20"/>
          <w:szCs w:val="20"/>
          <w:highlight w:val="white"/>
        </w:rPr>
      </w:pPr>
      <w:r>
        <w:rPr>
          <w:b/>
          <w:sz w:val="28"/>
          <w:szCs w:val="28"/>
          <w:highlight w:val="white"/>
        </w:rPr>
        <w:t xml:space="preserve">2.1. за счет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sz w:val="28"/>
          <w:szCs w:val="28"/>
          <w:highlight w:val="white"/>
        </w:rPr>
        <w:t xml:space="preserve">- кассовое исполнение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составляет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1 417 007,1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</w:t>
      </w:r>
      <w:r>
        <w:rPr>
          <w:sz w:val="28"/>
          <w:szCs w:val="28"/>
          <w:highlight w:val="white"/>
        </w:rPr>
        <w:t xml:space="preserve">. руб., или </w:t>
      </w:r>
      <w:r>
        <w:rPr>
          <w:b/>
          <w:sz w:val="28"/>
          <w:szCs w:val="28"/>
          <w:highlight w:val="white"/>
        </w:rPr>
        <w:t xml:space="preserve">82,5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</w:t>
      </w:r>
      <w:r>
        <w:rPr>
          <w:sz w:val="28"/>
          <w:szCs w:val="28"/>
          <w:highlight w:val="white"/>
        </w:rPr>
        <w:t xml:space="preserve"> кассового</w:t>
      </w:r>
      <w:r>
        <w:rPr>
          <w:sz w:val="28"/>
          <w:szCs w:val="28"/>
          <w:highlight w:val="white"/>
        </w:rPr>
        <w:t xml:space="preserve"> плана</w:t>
      </w:r>
      <w:r>
        <w:rPr>
          <w:sz w:val="28"/>
          <w:szCs w:val="28"/>
          <w:highlight w:val="white"/>
        </w:rPr>
        <w:t xml:space="preserve"> отчетного периода –</w:t>
      </w:r>
      <w:r>
        <w:rPr>
          <w:color w:val="ff0000"/>
          <w:sz w:val="28"/>
          <w:szCs w:val="28"/>
          <w:highlight w:val="white"/>
        </w:rPr>
        <w:t xml:space="preserve">           </w:t>
      </w:r>
      <w:r>
        <w:rPr>
          <w:sz w:val="28"/>
          <w:szCs w:val="28"/>
          <w:highlight w:val="white"/>
        </w:rPr>
        <w:t xml:space="preserve">1 717 302,7 </w:t>
      </w:r>
      <w:r>
        <w:rPr>
          <w:sz w:val="28"/>
          <w:szCs w:val="28"/>
          <w:highlight w:val="white"/>
        </w:rPr>
        <w:t xml:space="preserve">тыс. руб</w:t>
      </w:r>
      <w:r>
        <w:rPr>
          <w:sz w:val="28"/>
          <w:szCs w:val="28"/>
          <w:highlight w:val="white"/>
        </w:rPr>
        <w:t xml:space="preserve">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4,0 %</w:t>
      </w:r>
      <w:r>
        <w:rPr>
          <w:sz w:val="28"/>
          <w:szCs w:val="28"/>
          <w:highlight w:val="white"/>
        </w:rPr>
        <w:t xml:space="preserve"> от</w:t>
      </w:r>
      <w:r>
        <w:rPr>
          <w:sz w:val="28"/>
          <w:szCs w:val="28"/>
          <w:highlight w:val="white"/>
        </w:rPr>
        <w:t xml:space="preserve"> годовых ассигнований</w:t>
      </w:r>
      <w:r>
        <w:rPr>
          <w:sz w:val="28"/>
          <w:szCs w:val="28"/>
          <w:highlight w:val="white"/>
        </w:rPr>
        <w:t xml:space="preserve">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Исполнение расходов                      за </w:t>
      </w:r>
      <w:r>
        <w:rPr>
          <w:sz w:val="28"/>
          <w:szCs w:val="28"/>
          <w:highlight w:val="white"/>
        </w:rPr>
        <w:t xml:space="preserve">январь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02</w:t>
      </w:r>
      <w:r>
        <w:rPr>
          <w:sz w:val="28"/>
          <w:szCs w:val="28"/>
          <w:highlight w:val="white"/>
        </w:rPr>
        <w:t xml:space="preserve">4 </w:t>
      </w:r>
      <w:r>
        <w:rPr>
          <w:sz w:val="28"/>
          <w:szCs w:val="28"/>
          <w:highlight w:val="white"/>
        </w:rPr>
        <w:t xml:space="preserve">года составляло </w:t>
      </w:r>
      <w:r>
        <w:rPr>
          <w:sz w:val="28"/>
          <w:szCs w:val="28"/>
          <w:highlight w:val="white"/>
        </w:rPr>
        <w:t xml:space="preserve">902 940,0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руб., или </w:t>
      </w:r>
      <w:r>
        <w:rPr>
          <w:b/>
          <w:sz w:val="28"/>
          <w:szCs w:val="28"/>
          <w:highlight w:val="white"/>
        </w:rPr>
        <w:t xml:space="preserve">68,5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кассового</w:t>
      </w:r>
      <w:r>
        <w:rPr>
          <w:sz w:val="28"/>
          <w:szCs w:val="28"/>
          <w:highlight w:val="white"/>
        </w:rPr>
        <w:t xml:space="preserve"> плана отчетного периода 202</w:t>
      </w:r>
      <w:r>
        <w:rPr>
          <w:sz w:val="28"/>
          <w:szCs w:val="28"/>
          <w:highlight w:val="white"/>
        </w:rPr>
        <w:t xml:space="preserve">4 года и </w:t>
      </w:r>
      <w:r>
        <w:rPr>
          <w:b/>
          <w:sz w:val="28"/>
          <w:szCs w:val="28"/>
          <w:highlight w:val="white"/>
        </w:rPr>
        <w:t xml:space="preserve">3,2 %</w:t>
      </w:r>
      <w:r>
        <w:rPr>
          <w:sz w:val="28"/>
          <w:szCs w:val="28"/>
          <w:highlight w:val="white"/>
        </w:rPr>
        <w:t xml:space="preserve"> от годовых</w:t>
      </w:r>
      <w:r>
        <w:rPr>
          <w:sz w:val="28"/>
          <w:szCs w:val="28"/>
          <w:highlight w:val="white"/>
        </w:rPr>
        <w:t xml:space="preserve"> ассигнований. </w:t>
      </w:r>
      <w:r>
        <w:rPr>
          <w:sz w:val="28"/>
          <w:szCs w:val="28"/>
          <w:highlight w:val="white"/>
        </w:rPr>
        <w:t xml:space="preserve">     </w:t>
      </w:r>
      <w:r>
        <w:rPr>
          <w:b/>
          <w:bCs/>
          <w:sz w:val="20"/>
          <w:szCs w:val="20"/>
          <w:highlight w:val="white"/>
        </w:rPr>
        <w:t xml:space="preserve">       </w:t>
      </w:r>
      <w:r>
        <w:rPr>
          <w:b/>
          <w:bCs/>
          <w:sz w:val="20"/>
          <w:szCs w:val="20"/>
          <w:highlight w:val="white"/>
        </w:rPr>
      </w:r>
      <w:r>
        <w:rPr>
          <w:b/>
          <w:bCs/>
          <w:sz w:val="20"/>
          <w:szCs w:val="20"/>
          <w:highlight w:val="white"/>
        </w:rPr>
      </w:r>
    </w:p>
    <w:p>
      <w:pPr>
        <w:pStyle w:val="942"/>
        <w:ind w:firstLine="709"/>
        <w:spacing w:line="240" w:lineRule="atLeast"/>
        <w:tabs>
          <w:tab w:val="right" w:pos="10488" w:leader="none"/>
        </w:tabs>
        <w:rPr>
          <w:b/>
          <w:bCs/>
          <w:color w:val="ff0000"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 xml:space="preserve">   </w:t>
      </w:r>
      <w:r>
        <w:rPr>
          <w:b/>
          <w:bCs/>
          <w:sz w:val="16"/>
          <w:szCs w:val="20"/>
          <w:highlight w:val="white"/>
        </w:rPr>
        <w:t xml:space="preserve">   </w:t>
      </w:r>
      <w:r>
        <w:rPr>
          <w:b/>
          <w:bCs/>
          <w:sz w:val="20"/>
          <w:szCs w:val="20"/>
          <w:highlight w:val="white"/>
        </w:rPr>
        <w:t xml:space="preserve">                                                                                                                          </w:t>
      </w:r>
      <w:r>
        <w:rPr>
          <w:b/>
          <w:bCs/>
          <w:color w:val="ff0000"/>
          <w:sz w:val="20"/>
          <w:szCs w:val="20"/>
          <w:highlight w:val="white"/>
        </w:rPr>
        <w:tab/>
      </w:r>
      <w:r>
        <w:rPr>
          <w:b/>
          <w:bCs/>
          <w:color w:val="ff0000"/>
          <w:sz w:val="20"/>
          <w:szCs w:val="20"/>
          <w:highlight w:val="white"/>
        </w:rPr>
      </w:r>
      <w:r>
        <w:rPr>
          <w:b/>
          <w:bCs/>
          <w:color w:val="ff0000"/>
          <w:sz w:val="20"/>
          <w:szCs w:val="20"/>
          <w:highlight w:val="white"/>
        </w:rPr>
      </w:r>
    </w:p>
    <w:p>
      <w:pPr>
        <w:pStyle w:val="942"/>
        <w:ind w:firstLine="709"/>
        <w:spacing w:line="240" w:lineRule="atLeast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2.2. за счет средств, выделенных на исполнение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государственных полномочий, -</w:t>
      </w:r>
      <w:r>
        <w:rPr>
          <w:sz w:val="28"/>
          <w:szCs w:val="28"/>
          <w:highlight w:val="white"/>
        </w:rPr>
        <w:t xml:space="preserve"> кассовое исполнение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составляет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727 623,5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</w:t>
      </w:r>
      <w:r>
        <w:rPr>
          <w:sz w:val="28"/>
          <w:szCs w:val="28"/>
          <w:highlight w:val="white"/>
        </w:rPr>
        <w:t xml:space="preserve">. руб</w:t>
      </w:r>
      <w:r>
        <w:rPr>
          <w:sz w:val="28"/>
          <w:szCs w:val="28"/>
          <w:highlight w:val="white"/>
        </w:rPr>
        <w:t xml:space="preserve">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99,</w:t>
      </w:r>
      <w:r>
        <w:rPr>
          <w:b/>
          <w:sz w:val="28"/>
          <w:szCs w:val="28"/>
          <w:highlight w:val="white"/>
        </w:rPr>
        <w:t xml:space="preserve">8 %</w:t>
      </w:r>
      <w:r>
        <w:rPr>
          <w:b/>
          <w:color w:val="ff0000"/>
          <w:sz w:val="28"/>
          <w:szCs w:val="28"/>
          <w:highlight w:val="white"/>
        </w:rPr>
        <w:t xml:space="preserve">                      </w:t>
      </w:r>
      <w:r>
        <w:rPr>
          <w:sz w:val="28"/>
          <w:szCs w:val="28"/>
          <w:highlight w:val="white"/>
        </w:rPr>
        <w:t xml:space="preserve">от кассового плана отчетного периода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729 431,7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</w:t>
      </w:r>
      <w:r>
        <w:rPr>
          <w:sz w:val="28"/>
          <w:szCs w:val="28"/>
          <w:highlight w:val="white"/>
        </w:rPr>
        <w:t xml:space="preserve"> руб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4,4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</w:t>
      </w:r>
      <w:r>
        <w:rPr>
          <w:sz w:val="28"/>
          <w:szCs w:val="28"/>
          <w:highlight w:val="white"/>
        </w:rPr>
        <w:t xml:space="preserve"> годовых</w:t>
      </w:r>
      <w:r>
        <w:rPr>
          <w:sz w:val="28"/>
          <w:szCs w:val="28"/>
          <w:highlight w:val="white"/>
        </w:rPr>
        <w:t xml:space="preserve"> ассигнований. </w:t>
      </w:r>
      <w:r>
        <w:rPr>
          <w:sz w:val="28"/>
          <w:szCs w:val="28"/>
          <w:highlight w:val="white"/>
        </w:rPr>
        <w:t xml:space="preserve">Исполнение расходов за </w:t>
      </w:r>
      <w:r>
        <w:rPr>
          <w:sz w:val="28"/>
          <w:szCs w:val="28"/>
          <w:highlight w:val="white"/>
        </w:rPr>
        <w:t xml:space="preserve">январь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4 года составляло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618 567,2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</w:t>
      </w:r>
      <w:r>
        <w:rPr>
          <w:sz w:val="28"/>
          <w:szCs w:val="28"/>
          <w:highlight w:val="white"/>
        </w:rPr>
        <w:t xml:space="preserve">руб.,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99,7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 кассового плана отчетного периода 202</w:t>
      </w:r>
      <w:r>
        <w:rPr>
          <w:sz w:val="28"/>
          <w:szCs w:val="28"/>
          <w:highlight w:val="white"/>
        </w:rPr>
        <w:t xml:space="preserve">4 года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4,4</w:t>
      </w:r>
      <w:r>
        <w:rPr>
          <w:b/>
          <w:sz w:val="28"/>
          <w:szCs w:val="28"/>
          <w:highlight w:val="white"/>
        </w:rPr>
        <w:t xml:space="preserve"> %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годовых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ссигнований.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709"/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709"/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709"/>
        <w:spacing w:line="240" w:lineRule="atLeast"/>
        <w:rPr>
          <w:color w:val="ff0000"/>
          <w:sz w:val="16"/>
          <w:szCs w:val="16"/>
          <w:highlight w:val="white"/>
        </w:rPr>
      </w:pPr>
      <w:r>
        <w:rPr>
          <w:color w:val="ff0000"/>
          <w:sz w:val="16"/>
          <w:szCs w:val="16"/>
          <w:highlight w:val="white"/>
        </w:rPr>
      </w:r>
      <w:r>
        <w:rPr>
          <w:color w:val="ff0000"/>
          <w:sz w:val="16"/>
          <w:szCs w:val="16"/>
          <w:highlight w:val="white"/>
        </w:rPr>
      </w:r>
      <w:r>
        <w:rPr>
          <w:color w:val="ff0000"/>
          <w:sz w:val="16"/>
          <w:szCs w:val="16"/>
          <w:highlight w:val="white"/>
        </w:rPr>
      </w:r>
    </w:p>
    <w:p>
      <w:pPr>
        <w:pStyle w:val="942"/>
        <w:ind w:firstLine="720"/>
        <w:spacing w:line="240" w:lineRule="atLeast"/>
        <w:rPr>
          <w:sz w:val="28"/>
          <w:szCs w:val="28"/>
          <w:highlight w:val="white"/>
        </w:rPr>
      </w:pPr>
      <w:r>
        <w:rPr>
          <w:b/>
          <w:sz w:val="28"/>
          <w:highlight w:val="white"/>
        </w:rPr>
        <w:t xml:space="preserve">2.3. за счет средств, переданных из краевого бюджета на выполнение полномочий городского округа, - </w:t>
      </w:r>
      <w:r>
        <w:rPr>
          <w:sz w:val="28"/>
          <w:szCs w:val="28"/>
          <w:highlight w:val="white"/>
        </w:rPr>
        <w:t xml:space="preserve">кассовое исполнение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составляет</w:t>
      </w:r>
      <w:r>
        <w:rPr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66 300,1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100,0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 кассового</w:t>
      </w:r>
      <w:r>
        <w:rPr>
          <w:sz w:val="28"/>
          <w:szCs w:val="28"/>
          <w:highlight w:val="white"/>
        </w:rPr>
        <w:t xml:space="preserve"> плана отчетного</w:t>
      </w:r>
      <w:r>
        <w:rPr>
          <w:sz w:val="28"/>
          <w:szCs w:val="28"/>
          <w:highlight w:val="white"/>
        </w:rPr>
        <w:t xml:space="preserve"> периода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66 300,3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0,8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одовых </w:t>
      </w:r>
      <w:r>
        <w:rPr>
          <w:sz w:val="28"/>
          <w:szCs w:val="28"/>
          <w:highlight w:val="white"/>
        </w:rPr>
        <w:t xml:space="preserve">ассигнований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Исполнение расходов за </w:t>
      </w:r>
      <w:r>
        <w:rPr>
          <w:sz w:val="28"/>
          <w:szCs w:val="28"/>
          <w:highlight w:val="white"/>
        </w:rPr>
        <w:t xml:space="preserve">январ</w:t>
      </w:r>
      <w:r>
        <w:rPr>
          <w:sz w:val="28"/>
          <w:szCs w:val="28"/>
          <w:highlight w:val="white"/>
        </w:rPr>
        <w:t xml:space="preserve">ь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4 года составляло</w:t>
      </w:r>
      <w:r>
        <w:rPr>
          <w:sz w:val="28"/>
          <w:szCs w:val="28"/>
          <w:highlight w:val="white"/>
        </w:rPr>
        <w:t xml:space="preserve">                           </w:t>
      </w:r>
      <w:r>
        <w:rPr>
          <w:sz w:val="28"/>
          <w:szCs w:val="28"/>
          <w:highlight w:val="white"/>
        </w:rPr>
        <w:t xml:space="preserve">7 254,5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  <w:t xml:space="preserve">тыс. руб., или </w:t>
      </w:r>
      <w:r>
        <w:rPr>
          <w:b/>
          <w:sz w:val="28"/>
          <w:szCs w:val="28"/>
          <w:highlight w:val="white"/>
        </w:rPr>
        <w:t xml:space="preserve">100,0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% </w:t>
      </w:r>
      <w:r>
        <w:rPr>
          <w:sz w:val="28"/>
          <w:szCs w:val="28"/>
          <w:highlight w:val="white"/>
        </w:rPr>
        <w:t xml:space="preserve">от кассового</w:t>
      </w:r>
      <w:r>
        <w:rPr>
          <w:sz w:val="28"/>
          <w:szCs w:val="28"/>
          <w:highlight w:val="white"/>
        </w:rPr>
        <w:t xml:space="preserve"> плана отчетного периода 202</w:t>
      </w:r>
      <w:r>
        <w:rPr>
          <w:sz w:val="28"/>
          <w:szCs w:val="28"/>
          <w:highlight w:val="white"/>
        </w:rPr>
        <w:t xml:space="preserve">4 года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0,1</w:t>
      </w:r>
      <w:r>
        <w:rPr>
          <w:b/>
          <w:sz w:val="28"/>
          <w:szCs w:val="28"/>
          <w:highlight w:val="white"/>
        </w:rPr>
        <w:t xml:space="preserve"> %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                 </w:t>
      </w:r>
      <w:r>
        <w:rPr>
          <w:sz w:val="28"/>
          <w:szCs w:val="28"/>
          <w:highlight w:val="white"/>
        </w:rPr>
        <w:t xml:space="preserve">от годовых ассигнований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709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709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Расходная часть бюджета за </w:t>
      </w:r>
      <w:r>
        <w:rPr>
          <w:sz w:val="28"/>
          <w:szCs w:val="28"/>
          <w:highlight w:val="white"/>
        </w:rPr>
        <w:t xml:space="preserve">январь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02</w:t>
      </w:r>
      <w:r>
        <w:rPr>
          <w:sz w:val="28"/>
          <w:szCs w:val="28"/>
          <w:highlight w:val="white"/>
        </w:rPr>
        <w:t xml:space="preserve">5 года по источникам финансирования в разрезе главных распорядителей бюджетных средств исполнена следующим образом.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709"/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42"/>
        <w:spacing w:line="240" w:lineRule="auto"/>
        <w:tabs>
          <w:tab w:val="num" w:pos="720" w:leader="none"/>
        </w:tabs>
        <w:rPr>
          <w:b/>
          <w:sz w:val="28"/>
          <w:szCs w:val="28"/>
          <w:highlight w:val="white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  <w:highlight w:val="white"/>
        </w:rPr>
        <w:t xml:space="preserve">2.1. Исполнение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расходов местного бюджета: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42"/>
        <w:spacing w:line="240" w:lineRule="auto"/>
        <w:tabs>
          <w:tab w:val="num" w:pos="720" w:leader="none"/>
        </w:tabs>
        <w:rPr>
          <w:b/>
          <w:color w:val="ff0000"/>
          <w:sz w:val="16"/>
          <w:szCs w:val="16"/>
          <w:highlight w:val="white"/>
        </w:rPr>
      </w:pPr>
      <w:r>
        <w:rPr>
          <w:b/>
          <w:color w:val="ff0000"/>
          <w:sz w:val="16"/>
          <w:szCs w:val="16"/>
          <w:highlight w:val="white"/>
        </w:rPr>
      </w:r>
      <w:r>
        <w:rPr>
          <w:b/>
          <w:color w:val="ff0000"/>
          <w:sz w:val="16"/>
          <w:szCs w:val="16"/>
          <w:highlight w:val="white"/>
        </w:rPr>
      </w:r>
      <w:r>
        <w:rPr>
          <w:b/>
          <w:color w:val="ff0000"/>
          <w:sz w:val="16"/>
          <w:szCs w:val="16"/>
          <w:highlight w:val="white"/>
        </w:rPr>
      </w:r>
    </w:p>
    <w:p>
      <w:pPr>
        <w:pStyle w:val="942"/>
        <w:ind w:firstLine="709"/>
        <w:spacing w:line="240" w:lineRule="auto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white"/>
        </w:rPr>
        <w:t xml:space="preserve">выше 95,0 % </w:t>
      </w:r>
      <w:r>
        <w:rPr>
          <w:sz w:val="28"/>
          <w:szCs w:val="28"/>
          <w:highlight w:val="white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управления капитального строительства – на уровне 100,0 %;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образования – на уровне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99,5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администрацией Свердловского района – на уровне </w:t>
      </w:r>
      <w:r>
        <w:rPr>
          <w:sz w:val="28"/>
          <w:szCs w:val="28"/>
          <w:highlight w:val="white"/>
        </w:rPr>
        <w:t xml:space="preserve">99,4 %;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культуры и молодежной политики – на уровне</w:t>
      </w:r>
      <w:r>
        <w:rPr>
          <w:sz w:val="28"/>
          <w:szCs w:val="28"/>
          <w:highlight w:val="white"/>
        </w:rPr>
        <w:t xml:space="preserve"> 99,0 %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социальной политики – на уровне 98,8 %;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комитетом по физической культуре и спорту – на уровне 97,7 %;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администрацией Индустриального района – на уровне </w:t>
      </w:r>
      <w:r>
        <w:rPr>
          <w:sz w:val="28"/>
          <w:highlight w:val="white"/>
        </w:rPr>
        <w:t xml:space="preserve">97,3 %;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финансов – на уровне</w:t>
      </w:r>
      <w:r>
        <w:rPr>
          <w:sz w:val="28"/>
          <w:szCs w:val="28"/>
          <w:highlight w:val="white"/>
        </w:rPr>
        <w:t xml:space="preserve"> 97,2 %;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ом</w:t>
      </w:r>
      <w:r>
        <w:rPr>
          <w:sz w:val="28"/>
          <w:szCs w:val="28"/>
          <w:highlight w:val="white"/>
        </w:rPr>
        <w:t xml:space="preserve"> дорог и благоустройства – на уровне 96,9 %;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общественной безопасности – на уровне 96,6 %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360"/>
        <w:spacing w:line="240" w:lineRule="auto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p>
      <w:pPr>
        <w:pStyle w:val="942"/>
        <w:spacing w:line="240" w:lineRule="auto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b/>
          <w:sz w:val="28"/>
          <w:highlight w:val="white"/>
        </w:rPr>
        <w:t xml:space="preserve">       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 xml:space="preserve">  ниже уровня 95,0 %, но выше </w:t>
      </w:r>
      <w:r>
        <w:rPr>
          <w:b/>
          <w:sz w:val="28"/>
          <w:highlight w:val="white"/>
        </w:rPr>
        <w:t xml:space="preserve">82</w:t>
      </w:r>
      <w:r>
        <w:rPr>
          <w:b/>
          <w:sz w:val="28"/>
          <w:highlight w:val="white"/>
        </w:rPr>
        <w:t xml:space="preserve">,5</w:t>
      </w:r>
      <w:r>
        <w:rPr>
          <w:b/>
          <w:sz w:val="28"/>
          <w:highlight w:val="white"/>
        </w:rPr>
        <w:t xml:space="preserve"> % </w:t>
      </w:r>
      <w:r>
        <w:rPr>
          <w:sz w:val="28"/>
          <w:highlight w:val="white"/>
        </w:rPr>
        <w:t xml:space="preserve">сложилось исполнение </w:t>
      </w:r>
      <w:r>
        <w:rPr>
          <w:sz w:val="28"/>
          <w:szCs w:val="28"/>
          <w:highlight w:val="white"/>
        </w:rPr>
        <w:t xml:space="preserve">у следующих главных распорядителей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Кировского района – на уровне 94,6 %;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администрацией Орджоникидзевского района – на уровне 93,5 %;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экономики и промышленной политики – на уровне 91,0%;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администрацией города – на уровне 87,6 %;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жилищных отношений – на уровне 85,1 %;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360"/>
        <w:spacing w:line="240" w:lineRule="auto"/>
        <w:rPr>
          <w:color w:val="c00000"/>
          <w:sz w:val="16"/>
          <w:szCs w:val="16"/>
          <w:highlight w:val="white"/>
        </w:rPr>
      </w:pPr>
      <w:r>
        <w:rPr>
          <w:color w:val="c00000"/>
          <w:sz w:val="16"/>
          <w:szCs w:val="16"/>
          <w:highlight w:val="white"/>
        </w:rPr>
      </w:r>
      <w:r>
        <w:rPr>
          <w:color w:val="c00000"/>
          <w:sz w:val="16"/>
          <w:szCs w:val="16"/>
          <w:highlight w:val="white"/>
        </w:rPr>
      </w:r>
      <w:r>
        <w:rPr>
          <w:color w:val="c00000"/>
          <w:sz w:val="16"/>
          <w:szCs w:val="16"/>
          <w:highlight w:val="white"/>
        </w:rPr>
      </w:r>
    </w:p>
    <w:p>
      <w:pPr>
        <w:pStyle w:val="942"/>
        <w:spacing w:line="240" w:lineRule="auto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b/>
          <w:sz w:val="28"/>
          <w:highlight w:val="white"/>
        </w:rPr>
        <w:t xml:space="preserve">      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 xml:space="preserve">ниже уровня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 xml:space="preserve">82,5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 xml:space="preserve">% </w:t>
      </w:r>
      <w:r>
        <w:rPr>
          <w:sz w:val="28"/>
          <w:szCs w:val="28"/>
          <w:highlight w:val="white"/>
        </w:rPr>
        <w:t xml:space="preserve">сложилось исполнение у следующих главных распорядителей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Дзержинского района – на уровне </w:t>
      </w:r>
      <w:r>
        <w:rPr>
          <w:sz w:val="28"/>
          <w:szCs w:val="28"/>
          <w:highlight w:val="white"/>
        </w:rPr>
        <w:t xml:space="preserve">80,1 %;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градостроительства и архитектуры – на уровне </w:t>
      </w:r>
      <w:r>
        <w:rPr>
          <w:sz w:val="28"/>
          <w:szCs w:val="28"/>
          <w:highlight w:val="white"/>
        </w:rPr>
        <w:t xml:space="preserve">75,1 %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контрольного департамента – на уровне 74,7 %;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администрации Мотовилихинского района – на уровне </w:t>
      </w:r>
      <w:r>
        <w:rPr>
          <w:sz w:val="28"/>
          <w:szCs w:val="28"/>
          <w:highlight w:val="white"/>
        </w:rPr>
        <w:t xml:space="preserve">73,8 %;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департамент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 транспорта – на уровне 70,1 %;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п. Новые Ляды – на уровне 64,8 %;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управления по экологии и природопользованию – на уровне </w:t>
      </w:r>
      <w:r>
        <w:rPr>
          <w:sz w:val="28"/>
          <w:szCs w:val="28"/>
          <w:highlight w:val="white"/>
        </w:rPr>
        <w:t xml:space="preserve">62,8 %;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земельных отношений – на уровне 62,8 %;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Пермской городской Думы – на уровне 55,4 %;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Ленинского района – на уровне </w:t>
      </w:r>
      <w:r>
        <w:rPr>
          <w:sz w:val="28"/>
          <w:szCs w:val="28"/>
          <w:highlight w:val="white"/>
        </w:rPr>
        <w:t xml:space="preserve">50,2 %;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департамента жилищно-коммунального хозяйства – на уровне 43,4 %;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имущественных отношений – на уровне </w:t>
      </w:r>
      <w:r>
        <w:rPr>
          <w:sz w:val="28"/>
          <w:szCs w:val="28"/>
          <w:highlight w:val="white"/>
        </w:rPr>
        <w:t xml:space="preserve">42,5 %;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контрольно–счетной палаты города – на уровне 30,4 %.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left="3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spacing w:line="240" w:lineRule="auto"/>
        <w:tabs>
          <w:tab w:val="num" w:pos="90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spacing w:line="240" w:lineRule="auto"/>
        <w:rPr>
          <w:b/>
          <w:sz w:val="16"/>
          <w:szCs w:val="20"/>
        </w:rPr>
      </w:pPr>
      <w:r>
        <w:rPr>
          <w:b/>
          <w:sz w:val="16"/>
          <w:szCs w:val="20"/>
        </w:rPr>
      </w:r>
      <w:r>
        <w:rPr>
          <w:b/>
          <w:sz w:val="16"/>
          <w:szCs w:val="20"/>
        </w:rPr>
      </w:r>
      <w:r>
        <w:rPr>
          <w:b/>
          <w:sz w:val="16"/>
          <w:szCs w:val="20"/>
        </w:rPr>
      </w:r>
    </w:p>
    <w:p>
      <w:pPr>
        <w:pStyle w:val="942"/>
        <w:spacing w:line="240" w:lineRule="auto"/>
        <w:tabs>
          <w:tab w:val="num" w:pos="72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</w:t>
      </w:r>
      <w:r>
        <w:rPr>
          <w:sz w:val="28"/>
          <w:szCs w:val="28"/>
        </w:rPr>
        <w:t xml:space="preserve">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Орджоникидзевского района – на уровне 99,0 %;</w:t>
      </w:r>
      <w:r>
        <w:rPr>
          <w:sz w:val="28"/>
        </w:rPr>
      </w:r>
      <w:r>
        <w:rPr>
          <w:sz w:val="28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управлением записи актов гражданского состояния – на уровне 98,6 %;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Кировского района – на уровне 97,9 %;</w:t>
      </w:r>
      <w:r>
        <w:rPr>
          <w:sz w:val="28"/>
        </w:rPr>
      </w:r>
      <w:r>
        <w:rPr>
          <w:sz w:val="28"/>
        </w:rPr>
      </w:r>
    </w:p>
    <w:p>
      <w:pPr>
        <w:pStyle w:val="942"/>
        <w:spacing w:line="240" w:lineRule="auto"/>
        <w:tabs>
          <w:tab w:val="num" w:pos="720" w:leader="none"/>
        </w:tabs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942"/>
        <w:spacing w:line="240" w:lineRule="auto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b/>
          <w:color w:val="ff0000"/>
          <w:sz w:val="28"/>
        </w:rPr>
        <w:tab/>
      </w:r>
      <w:r>
        <w:rPr>
          <w:b/>
          <w:sz w:val="28"/>
          <w:szCs w:val="28"/>
        </w:rPr>
        <w:t xml:space="preserve">ниже 95,0 % </w:t>
      </w:r>
      <w:r>
        <w:rPr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Дзержинского района – на уровне 93,8 %;</w:t>
      </w:r>
      <w:r>
        <w:rPr>
          <w:sz w:val="28"/>
        </w:rPr>
      </w:r>
      <w:r>
        <w:rPr>
          <w:sz w:val="28"/>
        </w:rPr>
      </w:r>
    </w:p>
    <w:p>
      <w:pPr>
        <w:pStyle w:val="94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Свердловского района – на уровне</w:t>
      </w:r>
      <w:r>
        <w:t xml:space="preserve"> </w:t>
      </w:r>
      <w:r>
        <w:rPr>
          <w:sz w:val="28"/>
          <w:szCs w:val="28"/>
        </w:rPr>
        <w:t xml:space="preserve">87,3 %;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администрации Индустриального района – на уровне 84,2 %;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Мотовилихинского района – на уровне 84,0 %;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социальной политики – на уровне 83,2 %;</w:t>
      </w:r>
      <w:r>
        <w:rPr>
          <w:sz w:val="28"/>
        </w:rPr>
      </w:r>
      <w:r>
        <w:rPr>
          <w:sz w:val="28"/>
        </w:rPr>
      </w:r>
    </w:p>
    <w:p>
      <w:pPr>
        <w:pStyle w:val="942"/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департамента дорог и благоустройства – на уровне 79,6 %;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департамент транспорта – на уровне 77,5%;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п. Новые Ляды – на уровне 32,0 %;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Ленинского района – на уровне 27,6 %;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управления по экологии и природопользованию – на уровне </w:t>
      </w:r>
      <w:r>
        <w:rPr>
          <w:sz w:val="28"/>
          <w:szCs w:val="28"/>
        </w:rPr>
        <w:t xml:space="preserve">4,6 %.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spacing w:line="240" w:lineRule="auto"/>
        <w:tabs>
          <w:tab w:val="num" w:pos="720" w:leader="none"/>
        </w:tabs>
        <w:rPr>
          <w:sz w:val="28"/>
          <w:szCs w:val="28"/>
        </w:rPr>
      </w:pPr>
      <w:r>
        <w:rPr>
          <w:b/>
          <w:color w:val="ff0000"/>
          <w:sz w:val="28"/>
        </w:rPr>
        <w:tab/>
      </w:r>
      <w:r>
        <w:rPr>
          <w:b/>
          <w:sz w:val="28"/>
        </w:rPr>
        <w:t xml:space="preserve">Кассовый расход не производился при наличии кассового плана на январь 202</w:t>
      </w:r>
      <w:r>
        <w:rPr>
          <w:b/>
          <w:sz w:val="28"/>
        </w:rPr>
        <w:t xml:space="preserve">5 </w:t>
      </w:r>
      <w:r>
        <w:rPr>
          <w:b/>
          <w:sz w:val="28"/>
        </w:rPr>
        <w:t xml:space="preserve">года </w:t>
      </w:r>
      <w:r>
        <w:rPr>
          <w:sz w:val="28"/>
          <w:szCs w:val="28"/>
        </w:rPr>
        <w:t xml:space="preserve">управлением жилищных отношений.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spacing w:line="240" w:lineRule="auto"/>
        <w:tabs>
          <w:tab w:val="num" w:pos="720" w:leader="none"/>
        </w:tabs>
        <w:rPr>
          <w:b/>
          <w:color w:val="ff0000"/>
          <w:sz w:val="28"/>
        </w:rPr>
      </w:pP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942"/>
        <w:spacing w:line="240" w:lineRule="auto"/>
        <w:tabs>
          <w:tab w:val="num" w:pos="720" w:leader="none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2.3. Исполнение расходов по средствам, переданным из краевого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 выполнение полномочий городского округа: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spacing w:line="240" w:lineRule="auto"/>
        <w:tabs>
          <w:tab w:val="num" w:pos="720" w:leader="none"/>
        </w:tabs>
        <w:rPr>
          <w:b/>
          <w:sz w:val="16"/>
          <w:szCs w:val="20"/>
        </w:rPr>
      </w:pPr>
      <w:r>
        <w:rPr>
          <w:b/>
          <w:sz w:val="16"/>
          <w:szCs w:val="20"/>
        </w:rPr>
      </w:r>
      <w:r>
        <w:rPr>
          <w:b/>
          <w:sz w:val="16"/>
          <w:szCs w:val="20"/>
        </w:rPr>
      </w:r>
      <w:r>
        <w:rPr>
          <w:b/>
          <w:sz w:val="16"/>
          <w:szCs w:val="20"/>
        </w:rPr>
      </w:r>
    </w:p>
    <w:p>
      <w:pPr>
        <w:pStyle w:val="942"/>
        <w:spacing w:line="240" w:lineRule="auto"/>
        <w:tabs>
          <w:tab w:val="num" w:pos="720" w:leader="none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Исполнение расходов по средствам, переданным из краевого бюджета на выполнение полномочий городского округа, сложилось у департамента образования и управления капитального строительства - на уровне 100,0 %.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42"/>
        <w:spacing w:line="240" w:lineRule="auto"/>
        <w:tabs>
          <w:tab w:val="num" w:pos="720" w:leader="none"/>
        </w:tabs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spacing w:line="240" w:lineRule="auto"/>
        <w:tabs>
          <w:tab w:val="num" w:pos="720" w:leader="none"/>
        </w:tabs>
        <w:rPr>
          <w:color w:val="c00000"/>
          <w:sz w:val="28"/>
          <w:szCs w:val="28"/>
        </w:rPr>
      </w:pPr>
      <w:r>
        <w:rPr>
          <w:b/>
          <w:sz w:val="28"/>
        </w:rPr>
        <w:tab/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8</w:t>
    </w:r>
    <w:r>
      <w:fldChar w:fldCharType="end"/>
    </w:r>
    <w:r/>
  </w:p>
  <w:p>
    <w:pPr>
      <w:pStyle w:val="948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50"/>
        <w:sz w:val="23"/>
        <w:szCs w:val="23"/>
      </w:rPr>
      <w:framePr w:wrap="around" w:vAnchor="text" w:hAnchor="margin" w:xAlign="right" w:y="1"/>
    </w:pPr>
    <w:r>
      <w:rPr>
        <w:rStyle w:val="950"/>
        <w:sz w:val="23"/>
        <w:szCs w:val="23"/>
      </w:rPr>
      <w:fldChar w:fldCharType="begin"/>
    </w:r>
    <w:r>
      <w:rPr>
        <w:rStyle w:val="950"/>
        <w:sz w:val="23"/>
        <w:szCs w:val="23"/>
      </w:rPr>
      <w:instrText xml:space="preserve">PAGE  </w:instrText>
    </w:r>
    <w:r>
      <w:rPr>
        <w:rStyle w:val="950"/>
        <w:sz w:val="23"/>
        <w:szCs w:val="23"/>
      </w:rPr>
      <w:fldChar w:fldCharType="end"/>
    </w:r>
    <w:r>
      <w:rPr>
        <w:rStyle w:val="950"/>
        <w:sz w:val="23"/>
        <w:szCs w:val="23"/>
      </w:rPr>
    </w:r>
    <w:r>
      <w:rPr>
        <w:rStyle w:val="950"/>
        <w:sz w:val="23"/>
        <w:szCs w:val="23"/>
      </w:rPr>
    </w:r>
  </w:p>
  <w:p>
    <w:pPr>
      <w:pStyle w:val="948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1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8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5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2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0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7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4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17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firstLine="0"/>
        <w:tabs>
          <w:tab w:val="num" w:pos="1724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25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7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3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1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5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055" w:hanging="1335"/>
      </w:pPr>
      <w:rPr>
        <w:b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15" w:hanging="1335"/>
      </w:pPr>
      <w:rPr>
        <w:b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75" w:hanging="1335"/>
      </w:pPr>
      <w:rPr>
        <w:b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35" w:hanging="1335"/>
      </w:pPr>
      <w:rPr>
        <w:b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95" w:hanging="1335"/>
      </w:pPr>
      <w:rPr>
        <w:b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855" w:hanging="1335"/>
      </w:pPr>
      <w:rPr>
        <w:b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335"/>
      </w:pPr>
      <w:rPr>
        <w:b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75" w:hanging="1335"/>
      </w:pPr>
      <w:rPr>
        <w:b/>
        <w:color w:val="00000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4" w:hanging="284"/>
        <w:tabs>
          <w:tab w:val="num" w:pos="46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num w:numId="1">
    <w:abstractNumId w:val="16"/>
  </w:num>
  <w:num w:numId="2">
    <w:abstractNumId w:val="31"/>
  </w:num>
  <w:num w:numId="3">
    <w:abstractNumId w:val="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8"/>
  </w:num>
  <w:num w:numId="7">
    <w:abstractNumId w:val="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5"/>
  </w:num>
  <w:num w:numId="10">
    <w:abstractNumId w:val="12"/>
  </w:num>
  <w:num w:numId="11">
    <w:abstractNumId w:val="26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7"/>
  </w:num>
  <w:num w:numId="15">
    <w:abstractNumId w:val="29"/>
  </w:num>
  <w:num w:numId="16">
    <w:abstractNumId w:val="14"/>
  </w:num>
  <w:num w:numId="17">
    <w:abstractNumId w:val="6"/>
  </w:num>
  <w:num w:numId="18">
    <w:abstractNumId w:val="17"/>
  </w:num>
  <w:num w:numId="19">
    <w:abstractNumId w:val="11"/>
  </w:num>
  <w:num w:numId="20">
    <w:abstractNumId w:val="23"/>
  </w:num>
  <w:num w:numId="21">
    <w:abstractNumId w:val="20"/>
  </w:num>
  <w:num w:numId="22">
    <w:abstractNumId w:val="15"/>
  </w:num>
  <w:num w:numId="23">
    <w:abstractNumId w:val="1"/>
  </w:num>
  <w:num w:numId="2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</w:num>
  <w:num w:numId="27">
    <w:abstractNumId w:val="30"/>
  </w:num>
  <w:num w:numId="28">
    <w:abstractNumId w:val="5"/>
  </w:num>
  <w:num w:numId="29">
    <w:abstractNumId w:val="19"/>
  </w:num>
  <w:num w:numId="30">
    <w:abstractNumId w:val="10"/>
  </w:num>
  <w:num w:numId="31">
    <w:abstractNumId w:val="8"/>
  </w:num>
  <w:num w:numId="32">
    <w:abstractNumId w:val="18"/>
  </w:num>
  <w:num w:numId="33">
    <w:abstractNumId w:val="2"/>
  </w:num>
  <w:num w:numId="34">
    <w:abstractNumId w:val="7"/>
  </w:num>
  <w:num w:numId="35">
    <w:abstractNumId w:val="22"/>
  </w:num>
  <w:num w:numId="36">
    <w:abstractNumId w:val="16"/>
  </w:num>
  <w:num w:numId="37">
    <w:abstractNumId w:val="2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2"/>
    <w:next w:val="942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5">
    <w:name w:val="Heading 1 Char"/>
    <w:link w:val="764"/>
    <w:uiPriority w:val="9"/>
    <w:rPr>
      <w:rFonts w:ascii="Arial" w:hAnsi="Arial" w:eastAsia="Arial" w:cs="Arial"/>
      <w:sz w:val="40"/>
      <w:szCs w:val="40"/>
    </w:rPr>
  </w:style>
  <w:style w:type="paragraph" w:styleId="766">
    <w:name w:val="Heading 2"/>
    <w:basedOn w:val="942"/>
    <w:next w:val="942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7">
    <w:name w:val="Heading 2 Char"/>
    <w:link w:val="766"/>
    <w:uiPriority w:val="9"/>
    <w:rPr>
      <w:rFonts w:ascii="Arial" w:hAnsi="Arial" w:eastAsia="Arial" w:cs="Arial"/>
      <w:sz w:val="34"/>
    </w:rPr>
  </w:style>
  <w:style w:type="paragraph" w:styleId="768">
    <w:name w:val="Heading 3"/>
    <w:basedOn w:val="942"/>
    <w:next w:val="942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9">
    <w:name w:val="Heading 3 Char"/>
    <w:link w:val="768"/>
    <w:uiPriority w:val="9"/>
    <w:rPr>
      <w:rFonts w:ascii="Arial" w:hAnsi="Arial" w:eastAsia="Arial" w:cs="Arial"/>
      <w:sz w:val="30"/>
      <w:szCs w:val="30"/>
    </w:rPr>
  </w:style>
  <w:style w:type="paragraph" w:styleId="770">
    <w:name w:val="Heading 4"/>
    <w:basedOn w:val="942"/>
    <w:next w:val="942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1">
    <w:name w:val="Heading 4 Char"/>
    <w:link w:val="770"/>
    <w:uiPriority w:val="9"/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942"/>
    <w:next w:val="942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3">
    <w:name w:val="Heading 5 Char"/>
    <w:link w:val="772"/>
    <w:uiPriority w:val="9"/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942"/>
    <w:next w:val="942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5">
    <w:name w:val="Heading 6 Char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42"/>
    <w:next w:val="942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42"/>
    <w:next w:val="942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42"/>
    <w:next w:val="942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List Paragraph"/>
    <w:basedOn w:val="942"/>
    <w:uiPriority w:val="34"/>
    <w:qFormat/>
    <w:pPr>
      <w:contextualSpacing/>
      <w:ind w:left="720"/>
    </w:pPr>
  </w:style>
  <w:style w:type="paragraph" w:styleId="783">
    <w:name w:val="No Spacing"/>
    <w:uiPriority w:val="1"/>
    <w:qFormat/>
    <w:pPr>
      <w:spacing w:before="0" w:after="0" w:line="240" w:lineRule="auto"/>
    </w:pPr>
  </w:style>
  <w:style w:type="paragraph" w:styleId="784">
    <w:name w:val="Title"/>
    <w:basedOn w:val="942"/>
    <w:next w:val="942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>
    <w:name w:val="Title Char"/>
    <w:link w:val="784"/>
    <w:uiPriority w:val="10"/>
    <w:rPr>
      <w:sz w:val="48"/>
      <w:szCs w:val="48"/>
    </w:rPr>
  </w:style>
  <w:style w:type="paragraph" w:styleId="786">
    <w:name w:val="Subtitle"/>
    <w:basedOn w:val="942"/>
    <w:next w:val="942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link w:val="786"/>
    <w:uiPriority w:val="11"/>
    <w:rPr>
      <w:sz w:val="24"/>
      <w:szCs w:val="24"/>
    </w:rPr>
  </w:style>
  <w:style w:type="paragraph" w:styleId="788">
    <w:name w:val="Quote"/>
    <w:basedOn w:val="942"/>
    <w:next w:val="942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2"/>
    <w:next w:val="942"/>
    <w:link w:val="7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paragraph" w:styleId="792">
    <w:name w:val="Header"/>
    <w:basedOn w:val="942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Header Char"/>
    <w:link w:val="792"/>
    <w:uiPriority w:val="99"/>
  </w:style>
  <w:style w:type="paragraph" w:styleId="794">
    <w:name w:val="Footer"/>
    <w:basedOn w:val="942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Footer Char"/>
    <w:link w:val="794"/>
    <w:uiPriority w:val="99"/>
  </w:style>
  <w:style w:type="paragraph" w:styleId="796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7">
    <w:name w:val="Caption Char"/>
    <w:basedOn w:val="796"/>
    <w:link w:val="794"/>
    <w:uiPriority w:val="99"/>
  </w:style>
  <w:style w:type="table" w:styleId="7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4">
    <w:name w:val="Hyperlink"/>
    <w:uiPriority w:val="99"/>
    <w:unhideWhenUsed/>
    <w:rPr>
      <w:color w:val="0000ff" w:themeColor="hyperlink"/>
      <w:u w:val="single"/>
    </w:r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next w:val="942"/>
    <w:link w:val="942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43">
    <w:name w:val="Основной шрифт абзаца"/>
    <w:next w:val="943"/>
    <w:link w:val="942"/>
    <w:uiPriority w:val="1"/>
    <w:unhideWhenUsed/>
  </w:style>
  <w:style w:type="table" w:styleId="944">
    <w:name w:val="Обычная таблица"/>
    <w:next w:val="944"/>
    <w:link w:val="942"/>
    <w:uiPriority w:val="99"/>
    <w:semiHidden/>
    <w:unhideWhenUsed/>
    <w:qFormat/>
    <w:tblPr/>
  </w:style>
  <w:style w:type="numbering" w:styleId="945">
    <w:name w:val="Нет списка"/>
    <w:next w:val="945"/>
    <w:link w:val="942"/>
    <w:uiPriority w:val="99"/>
    <w:semiHidden/>
    <w:unhideWhenUsed/>
  </w:style>
  <w:style w:type="paragraph" w:styleId="946">
    <w:name w:val="Основной текст с отступом"/>
    <w:basedOn w:val="942"/>
    <w:next w:val="946"/>
    <w:link w:val="947"/>
    <w:pPr>
      <w:ind w:firstLine="720"/>
      <w:spacing w:line="360" w:lineRule="auto"/>
    </w:pPr>
    <w:rPr>
      <w:sz w:val="28"/>
      <w:szCs w:val="20"/>
      <w:lang w:val="en-US"/>
    </w:rPr>
  </w:style>
  <w:style w:type="character" w:styleId="947">
    <w:name w:val="Основной текст с отступом Знак"/>
    <w:next w:val="947"/>
    <w:link w:val="94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8">
    <w:name w:val="Нижний колонтитул"/>
    <w:basedOn w:val="942"/>
    <w:next w:val="948"/>
    <w:link w:val="949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49">
    <w:name w:val="Нижний колонтитул Знак"/>
    <w:next w:val="949"/>
    <w:link w:val="94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0">
    <w:name w:val="Номер страницы"/>
    <w:basedOn w:val="943"/>
    <w:next w:val="950"/>
    <w:link w:val="942"/>
  </w:style>
  <w:style w:type="paragraph" w:styleId="951">
    <w:name w:val="Основной текст с отступом 2"/>
    <w:basedOn w:val="942"/>
    <w:next w:val="951"/>
    <w:link w:val="952"/>
    <w:pPr>
      <w:ind w:firstLine="720"/>
    </w:pPr>
    <w:rPr>
      <w:b/>
      <w:sz w:val="32"/>
      <w:szCs w:val="32"/>
      <w:lang w:val="en-US"/>
    </w:rPr>
  </w:style>
  <w:style w:type="character" w:styleId="952">
    <w:name w:val="Основной текст с отступом 2 Знак"/>
    <w:next w:val="952"/>
    <w:link w:val="951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953">
    <w:name w:val="Абзац списка"/>
    <w:basedOn w:val="942"/>
    <w:next w:val="953"/>
    <w:link w:val="942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954">
    <w:name w:val="Текст выноски"/>
    <w:basedOn w:val="942"/>
    <w:next w:val="954"/>
    <w:link w:val="955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955">
    <w:name w:val="Текст выноски Знак"/>
    <w:next w:val="955"/>
    <w:link w:val="95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56">
    <w:name w:val="Верхний колонтитул, Знак"/>
    <w:basedOn w:val="942"/>
    <w:next w:val="956"/>
    <w:link w:val="957"/>
    <w:uiPriority w:val="99"/>
    <w:semiHidden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957">
    <w:name w:val="Верхний колонтитул Знак, Знак Знак1"/>
    <w:next w:val="957"/>
    <w:link w:val="956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>
    <w:name w:val="Основной текст"/>
    <w:basedOn w:val="942"/>
    <w:next w:val="958"/>
    <w:link w:val="959"/>
    <w:uiPriority w:val="99"/>
    <w:unhideWhenUsed/>
    <w:pPr>
      <w:spacing w:after="120"/>
    </w:pPr>
  </w:style>
  <w:style w:type="character" w:styleId="959">
    <w:name w:val="Основной текст Знак"/>
    <w:next w:val="959"/>
    <w:link w:val="958"/>
    <w:uiPriority w:val="99"/>
    <w:rPr>
      <w:rFonts w:ascii="Times New Roman" w:hAnsi="Times New Roman" w:eastAsia="Times New Roman"/>
      <w:sz w:val="24"/>
      <w:szCs w:val="24"/>
    </w:rPr>
  </w:style>
  <w:style w:type="paragraph" w:styleId="960">
    <w:name w:val="Исполнитель"/>
    <w:basedOn w:val="958"/>
    <w:next w:val="960"/>
    <w:link w:val="942"/>
    <w:pPr>
      <w:jc w:val="left"/>
      <w:spacing w:line="240" w:lineRule="exact"/>
      <w:widowControl/>
    </w:pPr>
    <w:rPr>
      <w:szCs w:val="20"/>
    </w:rPr>
  </w:style>
  <w:style w:type="character" w:styleId="961" w:default="1">
    <w:name w:val="Default Paragraph Font"/>
    <w:uiPriority w:val="1"/>
    <w:semiHidden/>
    <w:unhideWhenUsed/>
  </w:style>
  <w:style w:type="numbering" w:styleId="962" w:default="1">
    <w:name w:val="No List"/>
    <w:uiPriority w:val="99"/>
    <w:semiHidden/>
    <w:unhideWhenUsed/>
  </w:style>
  <w:style w:type="table" w:styleId="9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Департамент финансов админситрации г.Перми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revision>4386</cp:revision>
  <dcterms:created xsi:type="dcterms:W3CDTF">2022-06-10T10:27:00Z</dcterms:created>
  <dcterms:modified xsi:type="dcterms:W3CDTF">2025-02-12T06:35:03Z</dcterms:modified>
  <cp:version>983040</cp:version>
</cp:coreProperties>
</file>