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5"/>
        <w:jc w:val="right"/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85"/>
        <w:jc w:val="right"/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к письму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85"/>
        <w:jc w:val="center"/>
        <w:spacing w:line="240" w:lineRule="auto"/>
        <w:rPr>
          <w:b/>
          <w:caps/>
          <w:sz w:val="20"/>
          <w:szCs w:val="31"/>
        </w:rPr>
      </w:pPr>
      <w:r>
        <w:rPr>
          <w:b/>
          <w:caps/>
          <w:sz w:val="20"/>
          <w:szCs w:val="31"/>
        </w:rPr>
      </w:r>
      <w:r>
        <w:rPr>
          <w:b/>
          <w:caps/>
          <w:sz w:val="20"/>
          <w:szCs w:val="31"/>
        </w:rPr>
      </w:r>
      <w:r>
        <w:rPr>
          <w:b/>
          <w:caps/>
          <w:sz w:val="20"/>
          <w:szCs w:val="31"/>
        </w:rPr>
      </w:r>
    </w:p>
    <w:p>
      <w:pPr>
        <w:pStyle w:val="985"/>
        <w:jc w:val="center"/>
        <w:spacing w:line="24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ОПЕРАТИВНЫЙ АНАЛИЗ Исполнения бюджета</w:t>
      </w:r>
      <w:r>
        <w:rPr>
          <w:b/>
          <w:caps/>
          <w:sz w:val="32"/>
          <w:szCs w:val="32"/>
        </w:rPr>
      </w:r>
      <w:r>
        <w:rPr>
          <w:b/>
          <w:caps/>
          <w:sz w:val="32"/>
          <w:szCs w:val="32"/>
        </w:rPr>
      </w:r>
    </w:p>
    <w:p>
      <w:pPr>
        <w:pStyle w:val="985"/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sz w:val="32"/>
          <w:szCs w:val="32"/>
        </w:rPr>
        <w:t xml:space="preserve">города Перми </w:t>
      </w:r>
      <w:r>
        <w:rPr>
          <w:b/>
          <w:caps/>
          <w:sz w:val="32"/>
          <w:szCs w:val="32"/>
        </w:rPr>
        <w:t xml:space="preserve">на </w:t>
      </w:r>
      <w:r>
        <w:rPr>
          <w:b/>
          <w:caps/>
          <w:color w:val="auto"/>
          <w:sz w:val="32"/>
          <w:szCs w:val="32"/>
        </w:rPr>
        <w:t xml:space="preserve">1 </w:t>
      </w:r>
      <w:r>
        <w:rPr>
          <w:b/>
          <w:caps/>
          <w:color w:val="auto"/>
          <w:sz w:val="32"/>
          <w:szCs w:val="32"/>
        </w:rPr>
        <w:t xml:space="preserve">февраля </w:t>
      </w:r>
      <w:r>
        <w:rPr>
          <w:b/>
          <w:caps/>
          <w:color w:val="auto"/>
          <w:sz w:val="32"/>
          <w:szCs w:val="32"/>
        </w:rPr>
        <w:t xml:space="preserve">2026</w:t>
      </w:r>
      <w:r>
        <w:rPr>
          <w:b/>
          <w:caps/>
          <w:color w:val="auto"/>
          <w:sz w:val="32"/>
          <w:szCs w:val="32"/>
        </w:rPr>
        <w:t xml:space="preserve"> года 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pStyle w:val="985"/>
        <w:jc w:val="center"/>
        <w:spacing w:line="240" w:lineRule="auto"/>
        <w:rPr>
          <w:b/>
          <w:caps/>
          <w:color w:val="auto"/>
          <w:sz w:val="16"/>
          <w:szCs w:val="16"/>
        </w:rPr>
      </w:pP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16"/>
          <w:szCs w:val="16"/>
        </w:rPr>
      </w:r>
      <w:r>
        <w:rPr>
          <w:b/>
          <w:caps/>
          <w:color w:val="auto"/>
          <w:sz w:val="16"/>
          <w:szCs w:val="16"/>
        </w:rPr>
      </w:r>
    </w:p>
    <w:p>
      <w:pPr>
        <w:pStyle w:val="985"/>
        <w:jc w:val="center"/>
        <w:spacing w:line="240" w:lineRule="auto"/>
        <w:rPr>
          <w:b/>
          <w:caps/>
          <w:color w:val="auto"/>
          <w:sz w:val="32"/>
          <w:szCs w:val="32"/>
        </w:rPr>
      </w:pPr>
      <w:r>
        <w:rPr>
          <w:b/>
          <w:caps/>
          <w:color w:val="auto"/>
          <w:sz w:val="32"/>
          <w:szCs w:val="32"/>
        </w:rPr>
        <w:t xml:space="preserve">пояснительная записка</w:t>
      </w:r>
      <w:r>
        <w:rPr>
          <w:b/>
          <w:caps/>
          <w:color w:val="auto"/>
          <w:sz w:val="32"/>
          <w:szCs w:val="32"/>
        </w:rPr>
      </w:r>
      <w:r>
        <w:rPr>
          <w:b/>
          <w:caps/>
          <w:color w:val="auto"/>
          <w:sz w:val="32"/>
          <w:szCs w:val="32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  <w:szCs w:val="28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ind w:firstLine="567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85"/>
        <w:ind w:firstLine="567"/>
        <w:spacing w:line="240" w:lineRule="auto"/>
        <w:rPr>
          <w:color w:val="auto"/>
        </w:rPr>
      </w:pPr>
      <w:r>
        <w:rPr>
          <w:color w:val="auto"/>
          <w:szCs w:val="28"/>
        </w:rPr>
      </w:r>
      <w:r>
        <w:rPr>
          <w:color w:val="auto"/>
        </w:rPr>
      </w:r>
      <w:r>
        <w:rPr>
          <w:color w:val="auto"/>
        </w:rPr>
      </w:r>
    </w:p>
    <w:p>
      <w:pPr>
        <w:pStyle w:val="985"/>
        <w:ind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бюджета города Перми по состоянию на 1 </w:t>
      </w:r>
      <w:r>
        <w:rPr>
          <w:color w:val="auto"/>
          <w:sz w:val="28"/>
          <w:szCs w:val="28"/>
        </w:rPr>
        <w:t xml:space="preserve">феврал</w:t>
      </w:r>
      <w:r>
        <w:rPr>
          <w:color w:val="auto"/>
          <w:sz w:val="28"/>
          <w:szCs w:val="28"/>
        </w:rPr>
        <w:t xml:space="preserve">я</w:t>
      </w:r>
      <w:r>
        <w:rPr>
          <w:color w:val="auto"/>
          <w:sz w:val="28"/>
          <w:szCs w:val="28"/>
        </w:rPr>
        <w:t xml:space="preserve"> 2</w:t>
      </w:r>
      <w:r>
        <w:rPr>
          <w:color w:val="auto"/>
          <w:sz w:val="28"/>
          <w:szCs w:val="28"/>
        </w:rPr>
        <w:t xml:space="preserve">0</w:t>
      </w:r>
      <w:r>
        <w:rPr>
          <w:color w:val="auto"/>
          <w:sz w:val="28"/>
          <w:szCs w:val="28"/>
        </w:rPr>
        <w:t xml:space="preserve">26</w:t>
      </w:r>
      <w:r>
        <w:rPr>
          <w:color w:val="auto"/>
          <w:sz w:val="28"/>
          <w:szCs w:val="28"/>
        </w:rPr>
        <w:t xml:space="preserve"> года </w:t>
      </w:r>
      <w:r>
        <w:rPr>
          <w:color w:val="auto"/>
          <w:sz w:val="28"/>
          <w:szCs w:val="28"/>
        </w:rPr>
        <w:t xml:space="preserve">                         </w:t>
      </w:r>
      <w:r>
        <w:rPr>
          <w:color w:val="auto"/>
          <w:sz w:val="28"/>
          <w:szCs w:val="28"/>
        </w:rPr>
        <w:t xml:space="preserve">по оперативным данным характеризуется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следующими показателями:</w:t>
      </w:r>
      <w:r>
        <w:rPr>
          <w:color w:val="auto"/>
          <w:sz w:val="28"/>
          <w:szCs w:val="28"/>
        </w:rPr>
        <w:t xml:space="preserve"> </w:t>
      </w:r>
      <w:r>
        <w:rPr>
          <w:color w:val="c00000"/>
          <w:sz w:val="16"/>
          <w:szCs w:val="16"/>
        </w:rPr>
        <w:tab/>
      </w:r>
      <w:r>
        <w:rPr>
          <w:strike w:val="0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c00000"/>
          <w:sz w:val="16"/>
          <w:szCs w:val="16"/>
        </w:rPr>
        <w:tab/>
      </w:r>
      <w:r>
        <w:rPr>
          <w:b/>
          <w:color w:val="auto"/>
          <w:sz w:val="28"/>
          <w:szCs w:val="28"/>
        </w:rPr>
        <w:t xml:space="preserve">по доходам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-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сумме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2 008 667,1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руб.</w:t>
      </w:r>
      <w:r>
        <w:rPr>
          <w:b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86,9</w:t>
      </w:r>
      <w:r>
        <w:rPr>
          <w:b/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 xml:space="preserve">от плана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ян</w:t>
      </w:r>
      <w:r>
        <w:rPr>
          <w:color w:val="auto"/>
          <w:sz w:val="28"/>
          <w:szCs w:val="28"/>
        </w:rPr>
        <w:t xml:space="preserve">варя</w:t>
      </w:r>
      <w:r>
        <w:rPr>
          <w:color w:val="auto"/>
          <w:sz w:val="28"/>
          <w:szCs w:val="28"/>
        </w:rPr>
        <w:t xml:space="preserve"> 2026</w:t>
      </w:r>
      <w:r>
        <w:rPr>
          <w:color w:val="auto"/>
          <w:sz w:val="28"/>
          <w:szCs w:val="28"/>
        </w:rPr>
        <w:t xml:space="preserve"> года (</w:t>
      </w:r>
      <w:r>
        <w:rPr>
          <w:color w:val="auto"/>
          <w:sz w:val="28"/>
          <w:szCs w:val="28"/>
        </w:rPr>
        <w:t xml:space="preserve">2 310 579,4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</w:t>
      </w:r>
      <w:r>
        <w:rPr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 xml:space="preserve">3,0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 xml:space="preserve">годового плана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(67 071 564,4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ыс. руб.). За аналогичный период  прошлого  года  поступления  доходов   составляли</w:t>
      </w:r>
      <w:r>
        <w:rPr>
          <w:color w:val="auto"/>
          <w:sz w:val="28"/>
          <w:szCs w:val="28"/>
        </w:rPr>
        <w:t xml:space="preserve"> 2 425 018,8</w:t>
      </w:r>
      <w:r>
        <w:rPr>
          <w:color w:val="auto"/>
          <w:sz w:val="32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85"/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color w:val="auto"/>
          <w:sz w:val="16"/>
          <w:szCs w:val="16"/>
        </w:rPr>
      </w:r>
      <w:r>
        <w:rPr>
          <w:strike w:val="0"/>
          <w:color w:val="auto"/>
          <w:sz w:val="28"/>
          <w:szCs w:val="28"/>
        </w:rPr>
        <w:t xml:space="preserve">Анализ поступления доходов бюджета за 20</w:t>
      </w:r>
      <w:r>
        <w:rPr>
          <w:strike w:val="0"/>
          <w:color w:val="auto"/>
          <w:sz w:val="28"/>
          <w:szCs w:val="28"/>
        </w:rPr>
        <w:t xml:space="preserve">25</w:t>
      </w:r>
      <w:r>
        <w:rPr>
          <w:strike w:val="0"/>
          <w:color w:val="auto"/>
          <w:sz w:val="28"/>
          <w:szCs w:val="28"/>
        </w:rPr>
        <w:t xml:space="preserve"> и 2026</w:t>
      </w:r>
      <w:r>
        <w:rPr>
          <w:strike w:val="0"/>
          <w:color w:val="auto"/>
          <w:sz w:val="28"/>
          <w:szCs w:val="28"/>
        </w:rPr>
        <w:t xml:space="preserve"> год</w:t>
      </w:r>
      <w:r>
        <w:rPr>
          <w:strike w:val="0"/>
          <w:color w:val="auto"/>
          <w:sz w:val="28"/>
          <w:szCs w:val="28"/>
        </w:rPr>
        <w:t xml:space="preserve">ы</w:t>
      </w:r>
      <w:r>
        <w:rPr>
          <w:strike w:val="0"/>
          <w:color w:val="auto"/>
          <w:sz w:val="28"/>
          <w:szCs w:val="28"/>
        </w:rPr>
        <w:t xml:space="preserve"> приведен в следующей таблице:  </w:t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28"/>
          <w:szCs w:val="28"/>
          <w:highlight w:val="none"/>
        </w:rPr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567"/>
        <w:jc w:val="right"/>
        <w:spacing w:line="240" w:lineRule="atLeast"/>
        <w:rPr>
          <w:strike w:val="0"/>
          <w:color w:val="auto"/>
          <w:sz w:val="18"/>
          <w:szCs w:val="18"/>
          <w:highlight w:val="none"/>
        </w:rPr>
      </w:pPr>
      <w:r>
        <w:rPr>
          <w:strike w:val="0"/>
          <w:color w:val="auto"/>
          <w:sz w:val="28"/>
          <w:szCs w:val="28"/>
        </w:rPr>
        <w:t xml:space="preserve">   </w:t>
      </w:r>
      <w:r>
        <w:rPr>
          <w:strike w:val="0"/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 xml:space="preserve">(тыс.руб.)</w:t>
      </w:r>
      <w:r>
        <w:rPr>
          <w:strike w:val="0"/>
          <w:color w:val="auto"/>
          <w:sz w:val="18"/>
          <w:szCs w:val="18"/>
          <w:highlight w:val="none"/>
        </w:rPr>
      </w:r>
      <w:r>
        <w:rPr>
          <w:strike w:val="0"/>
          <w:color w:val="auto"/>
          <w:sz w:val="18"/>
          <w:szCs w:val="18"/>
          <w:highlight w:val="none"/>
        </w:rPr>
      </w:r>
    </w:p>
    <w:tbl>
      <w:tblPr>
        <w:tblW w:w="1063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559"/>
        <w:gridCol w:w="1418"/>
      </w:tblGrid>
      <w:tr>
        <w:tblPrEx/>
        <w:trPr>
          <w:trHeight w:val="850"/>
        </w:trPr>
        <w:tc>
          <w:tcPr>
            <w:tcBorders>
              <w:bottom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показателя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2"/>
                <w:szCs w:val="22"/>
              </w:rPr>
              <w:t xml:space="preserve">Факт на 01.02.2025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2"/>
                <w:szCs w:val="22"/>
              </w:rPr>
              <w:t xml:space="preserve">Факт на 01.02.2026</w:t>
            </w:r>
            <w:r>
              <w:rPr>
                <w:rFonts w:ascii="Times New Roman" w:hAnsi="Times New Roman" w:eastAsia="Times New Roman" w:cs="Times New Roman"/>
                <w:strike w:val="0"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Отклонение поступлений 2026 года от 2025 года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Отношение поступлений 2026 года к 2025 году, 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strike w:val="0"/>
                <w:color w:val="auto"/>
                <w:sz w:val="22"/>
                <w:szCs w:val="22"/>
                <w:lang w:eastAsia="en-US"/>
              </w:rPr>
              <w:t xml:space="preserve">Налоговые и неналоговые доходы,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strike w:val="0"/>
                <w:color w:val="auto"/>
                <w:sz w:val="22"/>
                <w:szCs w:val="22"/>
                <w:lang w:eastAsia="en-US"/>
              </w:rPr>
              <w:t xml:space="preserve">в том числе: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1 553 022,3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1 481 716,5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-71 305,8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95,4%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strike w:val="0"/>
                <w:color w:val="auto"/>
                <w:sz w:val="22"/>
                <w:szCs w:val="22"/>
                <w:lang w:eastAsia="en-US"/>
              </w:rPr>
              <w:t xml:space="preserve">налоговые доходы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  <w:t xml:space="preserve">1 029 281,5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956 946,9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-72 334,6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93,0%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strike w:val="0"/>
                <w:color w:val="auto"/>
                <w:sz w:val="22"/>
                <w:szCs w:val="22"/>
                <w:lang w:eastAsia="en-US"/>
              </w:rPr>
              <w:t xml:space="preserve">неналоговые доходы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firstLine="176"/>
              <w:jc w:val="left"/>
              <w:spacing w:line="240" w:lineRule="auto"/>
              <w:widowControl/>
              <w:rPr>
                <w:strike w:val="0"/>
                <w:color w:val="auto"/>
                <w:sz w:val="22"/>
                <w:szCs w:val="22"/>
                <w:lang w:eastAsia="en-US"/>
              </w:rPr>
            </w:pPr>
            <w:r>
              <w:rPr>
                <w:strike w:val="0"/>
                <w:color w:val="auto"/>
                <w:sz w:val="22"/>
                <w:szCs w:val="22"/>
                <w:lang w:eastAsia="en-US"/>
              </w:rPr>
            </w:r>
            <w:r>
              <w:rPr>
                <w:strike w:val="0"/>
                <w:color w:val="auto"/>
                <w:sz w:val="22"/>
                <w:szCs w:val="22"/>
                <w:lang w:eastAsia="en-US"/>
              </w:rPr>
            </w:r>
            <w:r>
              <w:rPr>
                <w:strike w:val="0"/>
                <w:color w:val="auto"/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523 740,8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trike w:val="0"/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strike w:val="0"/>
                <w:color w:val="auto"/>
                <w:sz w:val="22"/>
              </w:rPr>
            </w:r>
            <w:r>
              <w:rPr>
                <w:strike w:val="0"/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trike w:val="0"/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strike w:val="0"/>
                <w:color w:val="auto"/>
                <w:sz w:val="22"/>
              </w:rPr>
              <w:t xml:space="preserve">524 769,6</w:t>
            </w:r>
            <w:r>
              <w:rPr>
                <w:strike w:val="0"/>
                <w:color w:val="auto"/>
                <w:sz w:val="22"/>
              </w:rPr>
            </w:r>
            <w:r>
              <w:rPr>
                <w:strike w:val="0"/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1 028,8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strike w:val="0"/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strike w:val="0"/>
                <w:color w:val="auto"/>
                <w:sz w:val="22"/>
              </w:rPr>
            </w:r>
            <w:r>
              <w:rPr>
                <w:strike w:val="0"/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100,2%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auto"/>
                <w:sz w:val="22"/>
                <w:szCs w:val="22"/>
              </w:rPr>
            </w:pPr>
            <w:r>
              <w:rPr>
                <w:strike w:val="0"/>
                <w:color w:val="auto"/>
                <w:sz w:val="22"/>
                <w:szCs w:val="22"/>
                <w:lang w:eastAsia="en-US"/>
              </w:rPr>
              <w:t xml:space="preserve">Безвозмездные поступления от бюджетов других уровней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871 996,5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526 950,6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-345 045,9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60,4%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color w:val="auto"/>
                <w:sz w:val="22"/>
              </w:rPr>
            </w:pPr>
            <w:r>
              <w:rPr>
                <w:strike w:val="0"/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rPr>
                <w:b/>
                <w:color w:val="auto"/>
              </w:rPr>
            </w:pPr>
            <w:r>
              <w:rPr>
                <w:b/>
                <w:strike w:val="0"/>
                <w:color w:val="auto"/>
              </w:rPr>
              <w:t xml:space="preserve">Всего доходов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trike w:val="0"/>
                <w:color w:val="auto"/>
              </w:rPr>
            </w:pPr>
            <w:r>
              <w:rPr>
                <w:b/>
                <w:strike w:val="0"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2 425 018,8</w:t>
            </w:r>
            <w:r>
              <w:rPr>
                <w:strike w:val="0"/>
                <w:color w:val="auto"/>
              </w:rPr>
            </w:r>
            <w:r>
              <w:rPr>
                <w:strike w:val="0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2 008 667,1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strike w:val="0"/>
                <w:color w:val="auto"/>
              </w:rPr>
            </w:pPr>
            <w:r>
              <w:rPr>
                <w:b/>
                <w:strike w:val="0"/>
                <w:color w:val="auto"/>
              </w:rPr>
            </w:r>
            <w:r>
              <w:rPr>
                <w:strike w:val="0"/>
                <w:color w:val="auto"/>
              </w:rPr>
            </w:r>
            <w:r>
              <w:rPr>
                <w:strike w:val="0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/>
          </w:tcPr>
          <w:p>
            <w:pPr>
              <w:ind w:left="0" w:firstLine="0"/>
              <w:jc w:val="left"/>
              <w:spacing w:line="240" w:lineRule="auto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    </w:t>
            </w:r>
            <w:r>
              <w:rPr>
                <w:strike w:val="0"/>
                <w:color w:val="auto"/>
              </w:rPr>
              <w:t xml:space="preserve">-416 351,7</w:t>
            </w:r>
            <w:r>
              <w:rPr>
                <w:strike w:val="0"/>
                <w:color w:val="auto"/>
              </w:rPr>
            </w:r>
            <w:r>
              <w:rPr>
                <w:strike w:val="0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82,8%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strike w:val="0"/>
                <w:color w:val="auto"/>
              </w:rPr>
            </w:pPr>
            <w:r>
              <w:rPr>
                <w:b/>
                <w:strike w:val="0"/>
                <w:color w:val="auto"/>
              </w:rPr>
            </w:r>
            <w:r>
              <w:rPr>
                <w:strike w:val="0"/>
                <w:color w:val="auto"/>
              </w:rPr>
            </w:r>
            <w:r>
              <w:rPr>
                <w:strike w:val="0"/>
                <w:color w:val="auto"/>
              </w:rPr>
            </w:r>
          </w:p>
        </w:tc>
      </w:tr>
    </w:tbl>
    <w:p>
      <w:pPr>
        <w:ind w:firstLine="567"/>
        <w:spacing w:line="240" w:lineRule="atLeast"/>
        <w:rPr>
          <w:color w:val="auto"/>
          <w:sz w:val="16"/>
          <w:szCs w:val="16"/>
        </w:rPr>
      </w:pPr>
      <w:r>
        <w:rPr>
          <w:strike w:val="0"/>
          <w:color w:val="auto"/>
          <w:sz w:val="28"/>
          <w:szCs w:val="28"/>
        </w:rPr>
        <w:t xml:space="preserve">      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pStyle w:val="985"/>
        <w:ind w:firstLine="567"/>
        <w:spacing w:line="240" w:lineRule="auto"/>
        <w:rPr>
          <w:rFonts w:ascii="Times New Roman" w:hAnsi="Times New Roman" w:cs="Times New Roman"/>
          <w:color w:val="ff0000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0"/>
        </w:rPr>
        <w:t xml:space="preserve">    </w:t>
      </w:r>
      <w:r>
        <w:rPr>
          <w:rFonts w:ascii="Times New Roman" w:hAnsi="Times New Roman" w:eastAsia="Times New Roman" w:cs="Times New Roman"/>
          <w:color w:val="ff0000"/>
        </w:rPr>
        <w:t xml:space="preserve">     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  <w:highlight w:val="none"/>
        </w:rPr>
      </w:r>
    </w:p>
    <w:p>
      <w:pPr>
        <w:ind w:firstLine="567"/>
        <w:spacing w:line="240" w:lineRule="auto"/>
        <w:rPr>
          <w:rFonts w:ascii="Times New Roman" w:hAnsi="Times New Roman" w:cs="Times New Roman"/>
          <w:color w:val="ff0000"/>
          <w:highlight w:val="none"/>
        </w:rPr>
      </w:pP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  <w:highlight w:val="none"/>
        </w:rPr>
      </w:r>
    </w:p>
    <w:p>
      <w:pPr>
        <w:ind w:firstLine="567"/>
        <w:spacing w:line="240" w:lineRule="auto"/>
        <w:rPr>
          <w:rFonts w:ascii="Times New Roman" w:hAnsi="Times New Roman" w:cs="Times New Roman"/>
          <w:color w:val="ff0000"/>
          <w:highlight w:val="none"/>
        </w:rPr>
      </w:pP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  <w:highlight w:val="none"/>
        </w:rPr>
      </w:r>
    </w:p>
    <w:p>
      <w:pPr>
        <w:ind w:firstLine="567"/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  <w:highlight w:val="none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985"/>
        <w:ind w:firstLine="709"/>
        <w:spacing w:line="240" w:lineRule="atLeast"/>
        <w:tabs>
          <w:tab w:val="left" w:pos="7938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 xml:space="preserve">по </w:t>
      </w:r>
      <w:r>
        <w:rPr>
          <w:b/>
          <w:color w:val="auto"/>
          <w:sz w:val="28"/>
          <w:szCs w:val="28"/>
        </w:rPr>
        <w:t xml:space="preserve">расходам</w:t>
      </w:r>
      <w:r>
        <w:rPr>
          <w:color w:val="auto"/>
          <w:sz w:val="28"/>
          <w:szCs w:val="28"/>
        </w:rPr>
        <w:t xml:space="preserve"> - в </w:t>
      </w:r>
      <w:r>
        <w:rPr>
          <w:color w:val="auto"/>
          <w:sz w:val="28"/>
          <w:szCs w:val="28"/>
        </w:rPr>
        <w:t xml:space="preserve">сумме</w:t>
      </w:r>
      <w:r>
        <w:rPr>
          <w:color w:val="auto"/>
        </w:rPr>
        <w:t xml:space="preserve"> </w:t>
      </w:r>
      <w:r>
        <w:rPr>
          <w:b/>
          <w:color w:val="auto"/>
          <w:sz w:val="28"/>
          <w:szCs w:val="28"/>
        </w:rPr>
        <w:t xml:space="preserve">2 183 162,0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 руб.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или </w:t>
      </w:r>
      <w:r>
        <w:rPr>
          <w:b/>
          <w:color w:val="auto"/>
          <w:sz w:val="28"/>
          <w:szCs w:val="28"/>
        </w:rPr>
        <w:t xml:space="preserve">86,3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плана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szCs w:val="28"/>
        </w:rPr>
        <w:t xml:space="preserve">января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0</w:t>
      </w:r>
      <w:r>
        <w:rPr>
          <w:color w:val="auto"/>
          <w:sz w:val="28"/>
          <w:szCs w:val="28"/>
        </w:rPr>
        <w:t xml:space="preserve">26</w:t>
      </w:r>
      <w:r>
        <w:rPr>
          <w:color w:val="auto"/>
          <w:sz w:val="28"/>
          <w:szCs w:val="28"/>
        </w:rPr>
        <w:t xml:space="preserve"> года (</w:t>
      </w:r>
      <w:r>
        <w:rPr>
          <w:color w:val="auto"/>
          <w:sz w:val="28"/>
          <w:szCs w:val="28"/>
        </w:rPr>
        <w:t xml:space="preserve">2 529 704,4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руб.</w:t>
      </w:r>
      <w:r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3,1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 xml:space="preserve"> годовых ассигнований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(70 901 334,3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ыс.</w:t>
      </w:r>
      <w:r>
        <w:rPr>
          <w:color w:val="auto"/>
          <w:sz w:val="28"/>
          <w:szCs w:val="28"/>
        </w:rPr>
        <w:t xml:space="preserve">руб.). </w:t>
      </w:r>
      <w:r>
        <w:rPr>
          <w:color w:val="auto"/>
          <w:sz w:val="28"/>
          <w:szCs w:val="28"/>
        </w:rPr>
        <w:t xml:space="preserve">К</w:t>
      </w:r>
      <w:r>
        <w:rPr>
          <w:bCs/>
          <w:color w:val="auto"/>
          <w:sz w:val="28"/>
          <w:szCs w:val="28"/>
        </w:rPr>
        <w:t xml:space="preserve">ассовый</w:t>
      </w:r>
      <w:r>
        <w:rPr>
          <w:bCs/>
          <w:color w:val="auto"/>
          <w:sz w:val="28"/>
          <w:szCs w:val="28"/>
        </w:rPr>
        <w:t xml:space="preserve"> расход з</w:t>
      </w:r>
      <w:r>
        <w:rPr>
          <w:bCs/>
          <w:color w:val="auto"/>
          <w:sz w:val="28"/>
          <w:szCs w:val="28"/>
        </w:rPr>
        <w:t xml:space="preserve">а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аналогичный период прошлого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составлял</w:t>
      </w:r>
      <w:r>
        <w:rPr>
          <w:color w:val="auto"/>
          <w:sz w:val="28"/>
          <w:szCs w:val="28"/>
        </w:rPr>
        <w:t xml:space="preserve">                              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2 210 930,7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 руб</w:t>
      </w:r>
      <w:r>
        <w:rPr>
          <w:color w:val="auto"/>
          <w:sz w:val="28"/>
          <w:szCs w:val="28"/>
        </w:rPr>
        <w:t xml:space="preserve">., </w:t>
      </w:r>
      <w:r>
        <w:rPr>
          <w:color w:val="auto"/>
          <w:sz w:val="28"/>
          <w:szCs w:val="28"/>
        </w:rPr>
        <w:t xml:space="preserve">или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88,0 </w:t>
      </w:r>
      <w:r>
        <w:rPr>
          <w:b w:val="0"/>
          <w:bCs w:val="0"/>
          <w:color w:val="auto"/>
          <w:sz w:val="28"/>
          <w:szCs w:val="28"/>
        </w:rPr>
        <w:t xml:space="preserve">%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плана </w:t>
      </w:r>
      <w:r>
        <w:rPr>
          <w:color w:val="auto"/>
          <w:sz w:val="28"/>
          <w:szCs w:val="28"/>
        </w:rPr>
        <w:t xml:space="preserve">января </w:t>
      </w:r>
      <w:r>
        <w:rPr>
          <w:color w:val="auto"/>
          <w:sz w:val="28"/>
          <w:szCs w:val="28"/>
        </w:rPr>
        <w:t xml:space="preserve">2025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85"/>
        <w:ind w:firstLine="709"/>
        <w:spacing w:line="240" w:lineRule="auto"/>
        <w:rPr>
          <w:color w:val="auto"/>
          <w:szCs w:val="28"/>
        </w:rPr>
      </w:pPr>
      <w:r>
        <w:rPr>
          <w:color w:val="auto"/>
          <w:sz w:val="20"/>
          <w:szCs w:val="28"/>
        </w:rPr>
        <w:t xml:space="preserve"> 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985"/>
        <w:ind w:firstLine="709"/>
        <w:spacing w:line="240" w:lineRule="auto"/>
        <w:rPr>
          <w:b/>
          <w:color w:val="auto"/>
          <w:sz w:val="12"/>
          <w:szCs w:val="28"/>
        </w:rPr>
      </w:pPr>
      <w:r>
        <w:rPr>
          <w:color w:val="auto"/>
          <w:sz w:val="28"/>
          <w:szCs w:val="28"/>
        </w:rPr>
        <w:t xml:space="preserve">Кассовые выплаты за </w:t>
      </w:r>
      <w:r>
        <w:rPr>
          <w:color w:val="auto"/>
          <w:sz w:val="28"/>
          <w:szCs w:val="28"/>
        </w:rPr>
        <w:t xml:space="preserve">январь 2026 года</w:t>
      </w:r>
      <w:r>
        <w:rPr>
          <w:color w:val="auto"/>
          <w:sz w:val="28"/>
          <w:szCs w:val="28"/>
        </w:rPr>
        <w:t xml:space="preserve"> превысили поступления по доходам</w:t>
      </w:r>
      <w:r>
        <w:rPr>
          <w:color w:val="auto"/>
          <w:sz w:val="28"/>
          <w:szCs w:val="28"/>
        </w:rPr>
        <w:t xml:space="preserve">                 </w:t>
      </w:r>
      <w:r>
        <w:rPr>
          <w:color w:val="auto"/>
          <w:sz w:val="28"/>
          <w:szCs w:val="28"/>
        </w:rPr>
        <w:t xml:space="preserve"> на сумму </w:t>
      </w:r>
      <w:r>
        <w:rPr>
          <w:color w:val="auto"/>
          <w:sz w:val="28"/>
          <w:szCs w:val="28"/>
        </w:rPr>
        <w:t xml:space="preserve">174 494,9</w:t>
      </w:r>
      <w:r>
        <w:rPr>
          <w:color w:val="auto"/>
          <w:sz w:val="28"/>
          <w:szCs w:val="28"/>
        </w:rPr>
        <w:t xml:space="preserve"> тыс. руб.</w:t>
      </w:r>
      <w:r>
        <w:rPr>
          <w:color w:val="auto"/>
        </w:rPr>
        <w:t xml:space="preserve"> </w:t>
      </w:r>
      <w:r>
        <w:rPr>
          <w:b/>
          <w:color w:val="auto"/>
          <w:sz w:val="12"/>
          <w:szCs w:val="28"/>
        </w:rPr>
      </w:r>
      <w:r>
        <w:rPr>
          <w:b/>
          <w:color w:val="auto"/>
          <w:sz w:val="12"/>
          <w:szCs w:val="28"/>
        </w:rPr>
      </w:r>
    </w:p>
    <w:p>
      <w:pPr>
        <w:pStyle w:val="985"/>
        <w:ind w:firstLine="709"/>
        <w:spacing w:line="240" w:lineRule="atLeast"/>
        <w:tabs>
          <w:tab w:val="left" w:pos="7938" w:leader="none"/>
        </w:tabs>
        <w:rPr>
          <w:color w:val="auto"/>
          <w:szCs w:val="20"/>
        </w:rPr>
      </w:pPr>
      <w:r>
        <w:rPr>
          <w:color w:val="auto"/>
          <w:szCs w:val="20"/>
        </w:rPr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0"/>
        </w:rPr>
      </w:r>
      <w:r>
        <w:rPr>
          <w:color w:val="c00000"/>
          <w:sz w:val="28"/>
          <w:szCs w:val="20"/>
        </w:rPr>
      </w:r>
      <w:r>
        <w:rPr>
          <w:color w:val="c00000"/>
          <w:sz w:val="28"/>
          <w:szCs w:val="28"/>
        </w:rPr>
      </w:r>
    </w:p>
    <w:p>
      <w:pPr>
        <w:pStyle w:val="985"/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0"/>
        </w:rPr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Style w:val="985"/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c00000"/>
          <w:sz w:val="16"/>
          <w:szCs w:val="20"/>
        </w:rPr>
      </w:pPr>
      <w:r>
        <w:rPr>
          <w:color w:val="c00000"/>
          <w:sz w:val="16"/>
          <w:szCs w:val="20"/>
        </w:rPr>
      </w:r>
      <w:r>
        <w:rPr>
          <w:color w:val="c00000"/>
          <w:sz w:val="16"/>
          <w:szCs w:val="20"/>
        </w:rPr>
      </w:r>
      <w:r>
        <w:rPr>
          <w:color w:val="c00000"/>
          <w:sz w:val="16"/>
          <w:szCs w:val="20"/>
        </w:rPr>
      </w:r>
    </w:p>
    <w:p>
      <w:pPr>
        <w:pStyle w:val="985"/>
        <w:numPr>
          <w:ilvl w:val="0"/>
          <w:numId w:val="38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000000" w:themeColor="text1"/>
          <w:sz w:val="28"/>
          <w:szCs w:val="22"/>
        </w:rPr>
      </w:pPr>
      <w:r>
        <w:rPr>
          <w:rFonts w:eastAsia="Calibri"/>
          <w:b/>
          <w:caps/>
          <w:color w:val="000000" w:themeColor="text1"/>
          <w:sz w:val="28"/>
          <w:szCs w:val="22"/>
          <w:lang w:eastAsia="en-US"/>
        </w:rPr>
        <w:t xml:space="preserve">ИСПОЛНЕНИЕ БЮДЖЕТА ПО ДОХОДАМ </w:t>
      </w:r>
      <w:r>
        <w:rPr>
          <w:rFonts w:eastAsia="Calibri"/>
          <w:b/>
          <w:caps/>
          <w:color w:val="000000" w:themeColor="text1"/>
          <w:sz w:val="28"/>
          <w:szCs w:val="22"/>
        </w:rPr>
      </w:r>
      <w:r>
        <w:rPr>
          <w:rFonts w:eastAsia="Calibri"/>
          <w:b/>
          <w:caps/>
          <w:color w:val="000000" w:themeColor="text1"/>
          <w:sz w:val="28"/>
          <w:szCs w:val="22"/>
        </w:rPr>
      </w:r>
    </w:p>
    <w:p>
      <w:pPr>
        <w:pStyle w:val="985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                                            (приложение 1 к настоящей записке)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8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Нал</w:t>
      </w:r>
      <w:r>
        <w:rPr>
          <w:b/>
          <w:color w:val="auto"/>
          <w:sz w:val="28"/>
          <w:szCs w:val="28"/>
        </w:rPr>
        <w:t xml:space="preserve">оговые доходы</w:t>
      </w:r>
      <w:r>
        <w:rPr>
          <w:color w:val="auto"/>
          <w:sz w:val="28"/>
          <w:szCs w:val="28"/>
        </w:rPr>
        <w:t xml:space="preserve"> поступили в бюджет города в </w:t>
      </w:r>
      <w:r>
        <w:rPr>
          <w:color w:val="auto"/>
          <w:sz w:val="28"/>
          <w:szCs w:val="28"/>
        </w:rPr>
        <w:t xml:space="preserve">су</w:t>
      </w:r>
      <w:r>
        <w:rPr>
          <w:color w:val="auto"/>
          <w:sz w:val="28"/>
          <w:szCs w:val="28"/>
        </w:rPr>
        <w:t xml:space="preserve">мме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956 946,9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 руб., </w:t>
      </w:r>
      <w:r>
        <w:rPr>
          <w:color w:val="auto"/>
          <w:sz w:val="28"/>
          <w:szCs w:val="28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96,4</w:t>
      </w:r>
      <w:r>
        <w:rPr>
          <w:b/>
          <w:bCs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к плану </w:t>
      </w:r>
      <w:r>
        <w:rPr>
          <w:color w:val="auto"/>
          <w:sz w:val="28"/>
          <w:szCs w:val="28"/>
          <w:highlight w:val="white"/>
        </w:rPr>
        <w:t xml:space="preserve">января</w:t>
      </w:r>
      <w:r>
        <w:rPr>
          <w:color w:val="auto"/>
          <w:sz w:val="28"/>
          <w:szCs w:val="28"/>
        </w:rPr>
        <w:t xml:space="preserve"> 2026 года (</w:t>
      </w:r>
      <w:r>
        <w:rPr>
          <w:color w:val="auto"/>
          <w:sz w:val="28"/>
          <w:szCs w:val="28"/>
        </w:rPr>
        <w:t xml:space="preserve">993 083,7</w:t>
      </w:r>
      <w:r>
        <w:rPr>
          <w:color w:val="auto"/>
          <w:sz w:val="28"/>
          <w:szCs w:val="28"/>
        </w:rPr>
        <w:t xml:space="preserve"> тыс. руб.) </w:t>
      </w:r>
      <w:r>
        <w:rPr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 xml:space="preserve">3,2</w:t>
      </w:r>
      <w:r>
        <w:rPr>
          <w:b/>
          <w:bCs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к плану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 </w:t>
        <w:br/>
      </w:r>
      <w:r>
        <w:rPr>
          <w:color w:val="auto"/>
          <w:sz w:val="28"/>
          <w:szCs w:val="28"/>
        </w:rPr>
        <w:t xml:space="preserve">(</w:t>
      </w:r>
      <w:r>
        <w:rPr>
          <w:color w:val="auto"/>
          <w:sz w:val="28"/>
          <w:szCs w:val="28"/>
        </w:rPr>
        <w:t xml:space="preserve">29 887 228,9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</w:t>
      </w:r>
      <w:r>
        <w:rPr>
          <w:color w:val="auto"/>
          <w:sz w:val="28"/>
          <w:szCs w:val="28"/>
        </w:rPr>
        <w:t xml:space="preserve">.). </w:t>
      </w:r>
      <w:r>
        <w:rPr>
          <w:color w:val="auto"/>
          <w:sz w:val="28"/>
          <w:szCs w:val="28"/>
        </w:rPr>
        <w:t xml:space="preserve">З</w:t>
      </w:r>
      <w:r>
        <w:rPr>
          <w:color w:val="auto"/>
          <w:sz w:val="28"/>
          <w:szCs w:val="28"/>
        </w:rPr>
        <w:t xml:space="preserve">а аналогичный период прошлого года поступления налоговых доходов составляли </w:t>
      </w:r>
      <w:r>
        <w:rPr>
          <w:color w:val="auto"/>
          <w:sz w:val="28"/>
          <w:szCs w:val="28"/>
        </w:rPr>
        <w:t xml:space="preserve">1 029 281,5</w:t>
      </w:r>
      <w:r>
        <w:rPr>
          <w:color w:val="auto"/>
          <w:sz w:val="28"/>
          <w:szCs w:val="28"/>
        </w:rPr>
        <w:t xml:space="preserve"> тыс. руб.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4"/>
          <w:szCs w:val="24"/>
        </w:rPr>
      </w:pPr>
      <w:r>
        <w:rPr>
          <w:color w:val="auto"/>
          <w:sz w:val="20"/>
          <w:szCs w:val="20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Неналоговые доходы</w:t>
      </w:r>
      <w:r>
        <w:rPr>
          <w:color w:val="auto"/>
          <w:sz w:val="28"/>
          <w:szCs w:val="28"/>
        </w:rPr>
        <w:t xml:space="preserve"> поступили в бюджет города в </w:t>
      </w:r>
      <w:r>
        <w:rPr>
          <w:color w:val="auto"/>
          <w:sz w:val="28"/>
          <w:szCs w:val="28"/>
        </w:rPr>
        <w:t xml:space="preserve">су</w:t>
      </w:r>
      <w:r>
        <w:rPr>
          <w:color w:val="auto"/>
          <w:sz w:val="28"/>
          <w:szCs w:val="28"/>
        </w:rPr>
        <w:t xml:space="preserve">мме </w:t>
      </w:r>
      <w:r>
        <w:rPr>
          <w:b/>
          <w:bCs/>
          <w:color w:val="auto"/>
          <w:sz w:val="28"/>
          <w:szCs w:val="28"/>
        </w:rPr>
        <w:t xml:space="preserve">524 769,6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или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102,8</w:t>
      </w:r>
      <w:r>
        <w:rPr>
          <w:b/>
          <w:bCs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к плану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января</w:t>
      </w:r>
      <w:r>
        <w:rPr>
          <w:color w:val="auto"/>
          <w:sz w:val="28"/>
          <w:szCs w:val="28"/>
        </w:rPr>
        <w:t xml:space="preserve"> 2026 года (</w:t>
      </w:r>
      <w:r>
        <w:rPr>
          <w:color w:val="auto"/>
          <w:sz w:val="28"/>
          <w:szCs w:val="28"/>
        </w:rPr>
        <w:t xml:space="preserve">510 661,5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руб.) </w:t>
      </w:r>
      <w:r>
        <w:rPr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 xml:space="preserve">6,6%</w:t>
      </w:r>
      <w:r>
        <w:rPr>
          <w:color w:val="auto"/>
          <w:sz w:val="28"/>
          <w:szCs w:val="28"/>
        </w:rPr>
        <w:t xml:space="preserve"> к плану </w:t>
      </w:r>
      <w:r>
        <w:rPr>
          <w:color w:val="auto"/>
          <w:sz w:val="28"/>
          <w:szCs w:val="28"/>
        </w:rPr>
        <w:t xml:space="preserve">года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8 009 053,7</w:t>
      </w:r>
      <w:r>
        <w:rPr>
          <w:color w:val="auto"/>
          <w:sz w:val="28"/>
          <w:szCs w:val="28"/>
        </w:rPr>
        <w:t xml:space="preserve"> тыс. руб.). </w:t>
      </w:r>
      <w:r>
        <w:rPr>
          <w:color w:val="auto"/>
          <w:sz w:val="28"/>
          <w:szCs w:val="28"/>
        </w:rPr>
        <w:t xml:space="preserve">За аналогичный период прошлого год</w:t>
      </w:r>
      <w:r>
        <w:rPr>
          <w:color w:val="auto"/>
          <w:sz w:val="28"/>
          <w:szCs w:val="28"/>
        </w:rPr>
        <w:t xml:space="preserve">а поступления неналоговых доходов составляли</w:t>
      </w:r>
      <w:r>
        <w:rPr>
          <w:color w:val="auto"/>
          <w:sz w:val="28"/>
          <w:szCs w:val="28"/>
        </w:rPr>
        <w:t xml:space="preserve"> 523 740,8</w:t>
      </w:r>
      <w:r>
        <w:rPr>
          <w:color w:val="auto"/>
          <w:sz w:val="28"/>
          <w:szCs w:val="28"/>
        </w:rPr>
        <w:t xml:space="preserve"> тыс. руб.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ff0000"/>
          <w:sz w:val="24"/>
          <w:szCs w:val="24"/>
        </w:rPr>
      </w:pPr>
      <w:r>
        <w:rPr>
          <w:color w:val="ff0000"/>
          <w:sz w:val="20"/>
          <w:szCs w:val="20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strike w:val="0"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 xml:space="preserve">Безвозмездные поступления</w:t>
      </w:r>
      <w:r>
        <w:rPr>
          <w:color w:val="auto"/>
          <w:sz w:val="28"/>
          <w:szCs w:val="28"/>
        </w:rPr>
        <w:t xml:space="preserve"> от бюджетов других уровней поступили в сумме </w:t>
      </w:r>
      <w:r>
        <w:rPr>
          <w:b/>
          <w:bCs/>
          <w:color w:val="auto"/>
          <w:sz w:val="28"/>
          <w:szCs w:val="28"/>
        </w:rPr>
        <w:t xml:space="preserve">526 950,6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ыс. руб., </w:t>
      </w:r>
      <w:r>
        <w:rPr>
          <w:color w:val="auto"/>
          <w:sz w:val="28"/>
          <w:szCs w:val="28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65,</w:t>
      </w:r>
      <w:r>
        <w:rPr>
          <w:b/>
          <w:bCs/>
          <w:color w:val="auto"/>
          <w:sz w:val="28"/>
          <w:szCs w:val="28"/>
          <w:highlight w:val="none"/>
        </w:rPr>
        <w:t xml:space="preserve">3</w:t>
      </w:r>
      <w:r>
        <w:rPr>
          <w:b/>
          <w:bCs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к плану января</w:t>
      </w:r>
      <w:r>
        <w:rPr>
          <w:color w:val="auto"/>
          <w:sz w:val="28"/>
          <w:szCs w:val="28"/>
          <w:highlight w:val="white"/>
        </w:rPr>
        <w:t xml:space="preserve"> 2026</w:t>
      </w:r>
      <w:r>
        <w:rPr>
          <w:color w:val="auto"/>
          <w:sz w:val="28"/>
          <w:szCs w:val="28"/>
          <w:highlight w:val="white"/>
        </w:rPr>
        <w:t xml:space="preserve"> года </w:t>
        <w:br/>
        <w:t xml:space="preserve">(</w:t>
      </w:r>
      <w:r>
        <w:rPr>
          <w:color w:val="auto"/>
          <w:sz w:val="28"/>
          <w:szCs w:val="28"/>
          <w:highlight w:val="white"/>
        </w:rPr>
        <w:t xml:space="preserve">806 834,2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руб.)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1,8% </w:t>
      </w:r>
      <w:r>
        <w:rPr>
          <w:color w:val="auto"/>
          <w:sz w:val="28"/>
          <w:szCs w:val="28"/>
          <w:highlight w:val="white"/>
        </w:rPr>
        <w:t xml:space="preserve">к плану года (</w:t>
      </w:r>
      <w:r>
        <w:rPr>
          <w:color w:val="auto"/>
          <w:sz w:val="28"/>
          <w:szCs w:val="28"/>
          <w:highlight w:val="white"/>
        </w:rPr>
        <w:t xml:space="preserve">29 175 281,8</w:t>
      </w:r>
      <w:r>
        <w:rPr>
          <w:color w:val="auto"/>
          <w:sz w:val="28"/>
          <w:szCs w:val="28"/>
          <w:highlight w:val="white"/>
        </w:rPr>
        <w:t xml:space="preserve"> тыс. р</w:t>
      </w:r>
      <w:r>
        <w:rPr>
          <w:color w:val="auto"/>
          <w:sz w:val="28"/>
          <w:szCs w:val="28"/>
        </w:rPr>
        <w:t xml:space="preserve">уб.). </w:t>
      </w:r>
      <w:r>
        <w:rPr>
          <w:color w:val="auto"/>
          <w:sz w:val="28"/>
          <w:szCs w:val="28"/>
        </w:rPr>
        <w:t xml:space="preserve">За аналогичный период прошлого года поступления составляли </w:t>
      </w:r>
      <w:r>
        <w:rPr>
          <w:color w:val="auto"/>
          <w:sz w:val="28"/>
          <w:szCs w:val="28"/>
        </w:rPr>
        <w:t xml:space="preserve">871 996,5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</w:t>
      </w:r>
      <w:r>
        <w:rPr>
          <w:color w:val="auto"/>
          <w:sz w:val="28"/>
          <w:szCs w:val="28"/>
        </w:rPr>
        <w:t xml:space="preserve">. </w:t>
      </w:r>
      <w:r>
        <w:rPr>
          <w:strike w:val="0"/>
          <w:color w:val="auto"/>
          <w:sz w:val="28"/>
          <w:szCs w:val="28"/>
          <w:highlight w:val="none"/>
        </w:rPr>
      </w:r>
      <w:r>
        <w:rPr>
          <w:strike w:val="0"/>
          <w:color w:val="auto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0" w:leader="none"/>
        </w:tabs>
        <w:rPr>
          <w:strike w:val="0"/>
          <w:color w:val="000000" w:themeColor="text1"/>
          <w:sz w:val="28"/>
          <w:szCs w:val="28"/>
        </w:rPr>
      </w:pPr>
      <w:r>
        <w:rPr>
          <w:strike w:val="0"/>
          <w:color w:val="000000" w:themeColor="text1"/>
          <w:sz w:val="28"/>
          <w:szCs w:val="28"/>
        </w:rPr>
        <w:t xml:space="preserve">В составе безвозмездных поступлений отражена сумма возврата остатков субсидий, субвенций и иных межбюджетных трансфертов, имеющих целевое </w:t>
      </w:r>
      <w:r>
        <w:rPr>
          <w:strike w:val="0"/>
          <w:color w:val="000000" w:themeColor="text1"/>
          <w:sz w:val="28"/>
          <w:szCs w:val="28"/>
        </w:rPr>
        <w:t xml:space="preserve">назначение, прошлых лет, отражаемая в доходах бюджета со знаком «минус», в общем объеме 603 200,9</w:t>
      </w:r>
      <w:r>
        <w:rPr>
          <w:strike w:val="0"/>
          <w:color w:val="000000" w:themeColor="text1"/>
          <w:sz w:val="28"/>
          <w:szCs w:val="28"/>
        </w:rPr>
        <w:t xml:space="preserve"> тыс. руб. За аналогичный период прошлого года сумма возврата составляла 256 485,1</w:t>
      </w:r>
      <w:r>
        <w:rPr>
          <w:strike w:val="0"/>
          <w:color w:val="000000" w:themeColor="text1"/>
          <w:sz w:val="28"/>
          <w:szCs w:val="28"/>
        </w:rPr>
        <w:t xml:space="preserve"> </w:t>
      </w:r>
      <w:r>
        <w:rPr>
          <w:strike w:val="0"/>
          <w:color w:val="000000" w:themeColor="text1"/>
          <w:sz w:val="28"/>
          <w:szCs w:val="28"/>
        </w:rPr>
        <w:t xml:space="preserve">тыс. руб.</w:t>
      </w: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исполнения плана по доходам за январь</w:t>
      </w:r>
      <w:r>
        <w:rPr>
          <w:color w:val="auto"/>
          <w:sz w:val="28"/>
          <w:szCs w:val="28"/>
        </w:rPr>
        <w:t xml:space="preserve"> 2026 года по осно</w:t>
      </w:r>
      <w:r>
        <w:rPr>
          <w:color w:val="auto"/>
          <w:sz w:val="28"/>
          <w:szCs w:val="28"/>
        </w:rPr>
        <w:t xml:space="preserve">вным </w:t>
      </w:r>
      <w:r>
        <w:rPr>
          <w:color w:val="auto"/>
          <w:sz w:val="28"/>
          <w:szCs w:val="28"/>
        </w:rPr>
        <w:t xml:space="preserve">бюджетообразующим</w:t>
      </w:r>
      <w:r>
        <w:rPr>
          <w:color w:val="auto"/>
          <w:sz w:val="28"/>
          <w:szCs w:val="28"/>
        </w:rPr>
        <w:t xml:space="preserve"> поступлениям выглядит следующим образом: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</w:r>
      <w:r>
        <w:rPr>
          <w:color w:val="auto"/>
          <w:sz w:val="28"/>
          <w:highlight w:val="white"/>
        </w:rPr>
      </w:r>
      <w:r>
        <w:rPr>
          <w:color w:val="auto"/>
          <w:sz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01.02.2026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869 546,3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96,7% к плану отчетного периода (899 242,6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3,8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22 841 274,9 тыс. руб.).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111,1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ff0000"/>
          <w:sz w:val="24"/>
          <w:szCs w:val="24"/>
          <w:highlight w:val="none"/>
        </w:rPr>
        <w:suppressLineNumbers w:val="0"/>
      </w:pPr>
      <w:r>
        <w:rPr>
          <w:iCs/>
          <w:color w:val="ff0000"/>
          <w:sz w:val="28"/>
          <w:szCs w:val="28"/>
          <w:highlight w:val="none"/>
        </w:rPr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ind w:firstLine="851"/>
        <w:rPr>
          <w:iCs/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8 305,0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113,8%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(7 300,0 тыс.руб.)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21,6 % к плану года (38 381,0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  <w:t xml:space="preserve">Пере</w:t>
      </w:r>
      <w:r>
        <w:rPr>
          <w:iCs/>
          <w:color w:val="000000" w:themeColor="text1"/>
          <w:sz w:val="28"/>
          <w:szCs w:val="28"/>
          <w:highlight w:val="white"/>
        </w:rPr>
        <w:t xml:space="preserve">выполнение плана обусловлено</w:t>
      </w:r>
      <w:r>
        <w:rPr>
          <w:color w:val="000000" w:themeColor="text1"/>
          <w:sz w:val="28"/>
          <w:szCs w:val="28"/>
          <w:highlight w:val="none"/>
        </w:rPr>
        <w:t xml:space="preserve"> перечислениями по предоставленным  декларациям за 2025 год.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tabs>
          <w:tab w:val="left" w:pos="850" w:leader="none"/>
        </w:tabs>
        <w:rPr>
          <w:color w:val="ff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iCs/>
          <w:color w:val="ff0000"/>
          <w:sz w:val="28"/>
          <w:szCs w:val="28"/>
          <w:highlight w:val="none"/>
        </w:rPr>
      </w:r>
      <w:r>
        <w:rPr>
          <w:color w:val="ff0000"/>
          <w:sz w:val="24"/>
          <w:szCs w:val="24"/>
          <w:highlight w:val="none"/>
          <w14:ligatures w14:val="none"/>
        </w:rPr>
      </w:r>
      <w:r>
        <w:rPr>
          <w:color w:val="ff0000"/>
          <w:sz w:val="24"/>
          <w:szCs w:val="24"/>
          <w:highlight w:val="none"/>
          <w14:ligatures w14:val="none"/>
        </w:rPr>
      </w:r>
    </w:p>
    <w:p>
      <w:pPr>
        <w:ind w:firstLine="851"/>
        <w:rPr>
          <w:iCs/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3 881,3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color w:val="000000" w:themeColor="text1"/>
          <w:sz w:val="28"/>
          <w:szCs w:val="28"/>
          <w:highlight w:val="white"/>
        </w:rPr>
        <w:t xml:space="preserve">что в 9,7 раза превышает план 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(400,0 тыс. руб.) и составляет 0,3 % к плану года (1 319 195,1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ind w:firstLine="851"/>
        <w:rPr>
          <w:iCs/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превышают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в 11,5 раза.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налогу на имущес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тво физических лиц </w:t>
      </w:r>
      <w:r>
        <w:rPr>
          <w:iCs/>
          <w:color w:val="000000" w:themeColor="text1"/>
          <w:sz w:val="28"/>
          <w:szCs w:val="28"/>
          <w:highlight w:val="none"/>
        </w:rPr>
        <w:t xml:space="preserve">поступление составило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26 971,7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тыс.</w:t>
      </w:r>
      <w:r>
        <w:rPr>
          <w:iCs/>
          <w:color w:val="000000" w:themeColor="text1"/>
          <w:sz w:val="28"/>
          <w:szCs w:val="28"/>
          <w:highlight w:val="none"/>
        </w:rPr>
        <w:t xml:space="preserve"> руб.</w:t>
      </w:r>
      <w:r>
        <w:rPr>
          <w:iCs/>
          <w:color w:val="000000" w:themeColor="text1"/>
          <w:sz w:val="28"/>
          <w:szCs w:val="28"/>
          <w:highlight w:val="none"/>
        </w:rPr>
        <w:t xml:space="preserve">,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или 87,0</w:t>
      </w:r>
      <w:r>
        <w:rPr>
          <w:iCs/>
          <w:color w:val="000000" w:themeColor="text1"/>
          <w:sz w:val="28"/>
          <w:szCs w:val="28"/>
          <w:highlight w:val="none"/>
        </w:rPr>
        <w:t xml:space="preserve"> %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к плану </w:t>
      </w:r>
      <w:r>
        <w:rPr>
          <w:color w:val="000000" w:themeColor="text1"/>
          <w:sz w:val="28"/>
          <w:szCs w:val="28"/>
          <w:highlight w:val="none"/>
        </w:rPr>
        <w:t xml:space="preserve">отчетного периода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31 000,0</w:t>
      </w:r>
      <w:r>
        <w:rPr>
          <w:iCs/>
          <w:color w:val="000000" w:themeColor="text1"/>
          <w:sz w:val="28"/>
          <w:szCs w:val="28"/>
          <w:highlight w:val="none"/>
        </w:rPr>
        <w:t xml:space="preserve"> тыс. руб.) </w:t>
      </w:r>
      <w:r>
        <w:rPr>
          <w:iCs/>
          <w:color w:val="000000" w:themeColor="text1"/>
          <w:sz w:val="28"/>
          <w:szCs w:val="28"/>
          <w:highlight w:val="none"/>
        </w:rPr>
        <w:t xml:space="preserve">и 1,4% к плану год</w:t>
      </w:r>
      <w:r>
        <w:rPr>
          <w:iCs/>
          <w:color w:val="000000" w:themeColor="text1"/>
          <w:sz w:val="28"/>
          <w:szCs w:val="28"/>
          <w:highlight w:val="none"/>
        </w:rPr>
        <w:t xml:space="preserve">а (1 866 643,8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highlight w:val="white"/>
        </w:rPr>
        <w:t xml:space="preserve">П</w:t>
      </w:r>
      <w:r>
        <w:rPr>
          <w:iCs/>
          <w:sz w:val="28"/>
          <w:szCs w:val="28"/>
          <w:highlight w:val="white"/>
        </w:rPr>
        <w:t xml:space="preserve">ри отсутствии срока уплаты поступили платежи в счет погашения задолженности.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  <w:t xml:space="preserve">Относительно аналогичного периода прошлого года поступления </w:t>
      </w:r>
      <w:r>
        <w:rPr>
          <w:iCs/>
          <w:color w:val="000000" w:themeColor="text1"/>
          <w:sz w:val="28"/>
          <w:szCs w:val="28"/>
          <w:highlight w:val="none"/>
        </w:rPr>
        <w:t xml:space="preserve">уменьшились на 5,1%</w:t>
      </w:r>
      <w:r>
        <w:rPr>
          <w:iCs/>
          <w:color w:val="000000" w:themeColor="text1"/>
          <w:sz w:val="28"/>
          <w:szCs w:val="28"/>
          <w:highlight w:val="none"/>
        </w:rPr>
        <w:t xml:space="preserve">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b/>
          <w:color w:val="ff0000"/>
          <w:sz w:val="28"/>
          <w:szCs w:val="28"/>
          <w:highlight w:val="white"/>
        </w:rPr>
        <w:suppressLineNumbers w:val="0"/>
      </w:pPr>
      <w:r>
        <w:rPr>
          <w:b/>
          <w:color w:val="ff0000"/>
          <w:sz w:val="28"/>
          <w:szCs w:val="28"/>
          <w:highlight w:val="white"/>
        </w:rPr>
      </w:r>
      <w:r>
        <w:rPr>
          <w:b/>
          <w:color w:val="ff0000"/>
          <w:sz w:val="28"/>
          <w:szCs w:val="28"/>
          <w:highlight w:val="white"/>
        </w:rPr>
      </w:r>
      <w:r>
        <w:rPr>
          <w:b/>
          <w:color w:val="ff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color w:val="000000" w:themeColor="text1"/>
          <w:sz w:val="28"/>
          <w:szCs w:val="28"/>
          <w:highlight w:val="white"/>
        </w:rPr>
        <w:t xml:space="preserve">2 759,4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36,8% плана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7 500,0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и составляет 0,1% к  плану года (2 628 818,0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highlight w:val="white"/>
        </w:rPr>
        <w:t xml:space="preserve">П</w:t>
      </w:r>
      <w:r>
        <w:rPr>
          <w:iCs/>
          <w:sz w:val="28"/>
          <w:szCs w:val="28"/>
          <w:highlight w:val="white"/>
        </w:rPr>
        <w:t xml:space="preserve">ри отсутствии срока уплаты поступили платежи в счет погашения задолженности.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уменьшились на 57,3%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ff0000"/>
          <w:sz w:val="28"/>
          <w:szCs w:val="28"/>
          <w:highlight w:val="white"/>
        </w:rPr>
        <w:suppressLineNumbers w:val="0"/>
      </w:pPr>
      <w:r>
        <w:rPr>
          <w:iCs/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27 704,5 тыс. руб., что в 2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(14 041,7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6,7%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(413</w:t>
      </w:r>
      <w:r>
        <w:rPr>
          <w:color w:val="000000" w:themeColor="text1"/>
          <w:sz w:val="28"/>
          <w:szCs w:val="28"/>
          <w:highlight w:val="white"/>
        </w:rPr>
        <w:t xml:space="preserve"> 255,3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 уменьшились на 39,1% (на 17 771,6 тыс. руб.) в основном,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на заключение договоров аренды земельных участков на торгах. </w:t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15 802,6</w:t>
      </w:r>
      <w:r>
        <w:rPr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120,2%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13 150,0</w:t>
      </w:r>
      <w:r>
        <w:rPr>
          <w:color w:val="000000" w:themeColor="text1"/>
          <w:sz w:val="28"/>
          <w:szCs w:val="28"/>
          <w:highlight w:val="white"/>
        </w:rPr>
        <w:t xml:space="preserve"> тыс. руб.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iCs/>
          <w:color w:val="000000" w:themeColor="text1"/>
          <w:sz w:val="28"/>
          <w:szCs w:val="28"/>
          <w:highlight w:val="white"/>
        </w:rPr>
        <w:t xml:space="preserve">и 5,2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306 696,2 тыс. руб.)</w:t>
      </w:r>
      <w:r>
        <w:rPr>
          <w:color w:val="000000" w:themeColor="text1"/>
          <w:sz w:val="28"/>
          <w:szCs w:val="28"/>
          <w:highlight w:val="white"/>
        </w:rPr>
        <w:t xml:space="preserve">. Перевыполнение плана отчетного периода связано с поступлением авансовых платежей от арендаторов земельных участков.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</w:t>
      </w:r>
      <w:r>
        <w:rPr>
          <w:color w:val="000000" w:themeColor="text1"/>
          <w:sz w:val="28"/>
          <w:szCs w:val="28"/>
          <w:highlight w:val="white"/>
        </w:rPr>
        <w:t xml:space="preserve"> у</w:t>
      </w:r>
      <w:r>
        <w:rPr>
          <w:color w:val="000000" w:themeColor="text1"/>
          <w:sz w:val="28"/>
          <w:szCs w:val="28"/>
          <w:highlight w:val="white"/>
        </w:rPr>
        <w:t xml:space="preserve">меньшились н</w:t>
      </w:r>
      <w:r>
        <w:rPr>
          <w:color w:val="000000" w:themeColor="text1"/>
          <w:sz w:val="28"/>
          <w:szCs w:val="28"/>
          <w:highlight w:val="white"/>
        </w:rPr>
        <w:t xml:space="preserve">а 1 196,4</w:t>
      </w:r>
      <w:r>
        <w:rPr>
          <w:color w:val="000000" w:themeColor="text1"/>
          <w:sz w:val="28"/>
          <w:szCs w:val="28"/>
          <w:highlight w:val="white"/>
        </w:rPr>
        <w:t xml:space="preserve"> тыс. руб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11 901,9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13,3 раза больше плана отчетного периода (</w:t>
      </w:r>
      <w:r>
        <w:rPr>
          <w:color w:val="000000" w:themeColor="text1"/>
          <w:sz w:val="28"/>
          <w:szCs w:val="28"/>
          <w:highlight w:val="white"/>
        </w:rPr>
        <w:t xml:space="preserve">891,7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11,2%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лана года (106 559,1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в значительной степени повлияло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нов, состоявшихся в декабре 2025  года, в сумме 8 418,3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/>
          <w:bCs/>
          <w:color w:val="ff0000"/>
          <w:sz w:val="28"/>
          <w:szCs w:val="28"/>
          <w:highlight w:val="white"/>
        </w:rPr>
        <w:suppressLineNumbers w:val="0"/>
      </w:pPr>
      <w:r>
        <w:rPr>
          <w:b/>
          <w:color w:val="ff0000"/>
          <w:sz w:val="28"/>
          <w:szCs w:val="28"/>
          <w:highlight w:val="white"/>
        </w:rPr>
      </w:r>
      <w:r>
        <w:rPr>
          <w:b/>
          <w:bCs/>
          <w:color w:val="ff0000"/>
          <w:sz w:val="28"/>
          <w:szCs w:val="28"/>
          <w:highlight w:val="white"/>
        </w:rPr>
      </w:r>
      <w:r>
        <w:rPr>
          <w:b/>
          <w:bCs/>
          <w:color w:val="ff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(-)177,2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133,5 тыс. руб., что в 2,7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</w:t>
      </w:r>
      <w:r>
        <w:rPr>
          <w:color w:val="000000" w:themeColor="text1"/>
          <w:sz w:val="28"/>
          <w:szCs w:val="28"/>
          <w:highlight w:val="white"/>
        </w:rPr>
        <w:t xml:space="preserve">ого периода (50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и</w:t>
      </w:r>
      <w:r>
        <w:rPr>
          <w:color w:val="000000" w:themeColor="text1"/>
          <w:sz w:val="28"/>
          <w:szCs w:val="28"/>
          <w:highlight w:val="white"/>
        </w:rPr>
        <w:t xml:space="preserve"> составляет 0,2%</w:t>
      </w:r>
      <w:r>
        <w:rPr>
          <w:color w:val="000000" w:themeColor="text1"/>
          <w:sz w:val="28"/>
          <w:szCs w:val="28"/>
          <w:highlight w:val="white"/>
        </w:rPr>
        <w:t xml:space="preserve"> плана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58 127,6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</w:t>
      </w:r>
      <w:r>
        <w:rPr>
          <w:color w:val="000000" w:themeColor="text1"/>
          <w:sz w:val="28"/>
          <w:szCs w:val="28"/>
          <w:highlight w:val="white"/>
        </w:rPr>
        <w:t xml:space="preserve"> увеличились </w:t>
      </w:r>
      <w:r>
        <w:rPr>
          <w:color w:val="000000" w:themeColor="text1"/>
          <w:sz w:val="28"/>
          <w:szCs w:val="28"/>
          <w:highlight w:val="white"/>
        </w:rPr>
        <w:t xml:space="preserve">на 74,7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счет погашения задолженности прошлых лет поступило 74,6 тыс. руб.;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по средствам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план на отчетный период не установлен. В январе уточнены платежи в связи с неверным указанием Кода бюджетной классификации в платежных документах,  поступление составило (-)310,7 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ff0000"/>
          <w:sz w:val="28"/>
          <w:szCs w:val="28"/>
          <w:highlight w:val="yellow"/>
        </w:rPr>
        <w:outlineLvl w:val="0"/>
        <w:suppressLineNumbers w:val="0"/>
      </w:pPr>
      <w:r>
        <w:rPr>
          <w:rFonts w:eastAsia="Calibri"/>
          <w:color w:val="ff0000"/>
          <w:sz w:val="28"/>
          <w:szCs w:val="28"/>
          <w:highlight w:val="yellow"/>
        </w:rPr>
      </w:r>
      <w:r>
        <w:rPr>
          <w:rFonts w:eastAsia="Calibri"/>
          <w:color w:val="ff0000"/>
          <w:sz w:val="28"/>
          <w:szCs w:val="28"/>
          <w:highlight w:val="yellow"/>
        </w:rPr>
      </w:r>
      <w:r>
        <w:rPr>
          <w:rFonts w:eastAsia="Calibri"/>
          <w:color w:val="ff0000"/>
          <w:sz w:val="28"/>
          <w:szCs w:val="28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b/>
          <w:color w:val="ff0000"/>
          <w:sz w:val="28"/>
          <w:szCs w:val="28"/>
          <w:highlight w:val="none"/>
        </w:rPr>
        <w:tab/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поступили в сумме 5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143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,3 тыс. руб., что составляет 93,5% к плану отчетного периода (5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6,0% к плану года (85 184,0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 составили 83,6%.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yellow"/>
        </w:rPr>
      </w:r>
      <w:r>
        <w:rPr>
          <w:rFonts w:eastAsia="Calibri"/>
          <w:color w:val="000000" w:themeColor="text1"/>
          <w:sz w:val="28"/>
          <w:szCs w:val="28"/>
        </w:rPr>
        <w:t xml:space="preserve">Невыполнение плана отчетного периода связано </w:t>
      </w:r>
      <w:r>
        <w:rPr>
          <w:sz w:val="28"/>
          <w:szCs w:val="28"/>
        </w:rPr>
        <w:t xml:space="preserve">с </w:t>
      </w:r>
      <w:r>
        <w:rPr>
          <w:iCs/>
          <w:sz w:val="28"/>
          <w:szCs w:val="28"/>
        </w:rPr>
        <w:t xml:space="preserve">низкой платежной дисциплиной арендаторов</w:t>
      </w:r>
      <w:r>
        <w:rPr>
          <w:iCs/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поступлением авансовых платежей в декабре 2025 года</w:t>
      </w:r>
      <w:r>
        <w:rPr>
          <w:iCs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ff0000"/>
          <w:sz w:val="28"/>
          <w:szCs w:val="28"/>
          <w:highlight w:val="yellow"/>
        </w:rPr>
        <w:suppressLineNumbers w:val="0"/>
      </w:pP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  <w:t xml:space="preserve">П</w:t>
      </w:r>
      <w:r>
        <w:rPr>
          <w:b/>
          <w:bCs/>
          <w:color w:val="auto"/>
          <w:sz w:val="28"/>
          <w:szCs w:val="28"/>
          <w:highlight w:val="white"/>
        </w:rPr>
        <w:t xml:space="preserve">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</w:t>
      </w:r>
      <w:r>
        <w:rPr>
          <w:b/>
          <w:bCs/>
          <w:color w:val="auto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auto"/>
          <w:sz w:val="28"/>
          <w:szCs w:val="28"/>
          <w:highlight w:val="white"/>
        </w:rPr>
        <w:t xml:space="preserve">зенных)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</w:rPr>
        <w:t xml:space="preserve">поступили в сумме 13 440,4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руб., что составляет 143,3 % от плана отчетного периода (9 377,9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руб.) и 6,3 % от плана года (213 786,6 тыс. руб.).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 том числе: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</w:t>
      </w: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7 901,5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1,9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(4 100,3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6,6% к плану года (119 058,5 тыс. руб.). </w:t>
      </w:r>
      <w:r>
        <w:rPr>
          <w:color w:val="000000" w:themeColor="text1"/>
          <w:sz w:val="28"/>
          <w:szCs w:val="28"/>
        </w:rPr>
        <w:t xml:space="preserve">Перевыполнение плана связано с поступлением авансовых платежей за февраль 2026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договорам на размещение нестационарных объектов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289,8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1,6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(179,2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2,7% к плану года (10 589,6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</w:t>
      </w:r>
      <w:r>
        <w:rPr>
          <w:color w:val="000000" w:themeColor="text1"/>
          <w:sz w:val="28"/>
          <w:szCs w:val="28"/>
          <w:highlight w:val="none"/>
        </w:rPr>
        <w:t xml:space="preserve"> за февраль 2026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ff0000"/>
          <w:sz w:val="28"/>
          <w:szCs w:val="28"/>
          <w:highlight w:val="white"/>
        </w:rPr>
        <w:suppressLineNumbers w:val="0"/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Платежи при пользовании природными ресурсами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поступила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102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,5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составляет 53,0%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плану отчетного периода (193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,3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2,9% к плану года (3 503,0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Невыполнение плана отчетного периода связано с </w:t>
      </w:r>
      <w:r>
        <w:rPr>
          <w:rFonts w:eastAsia="Calibri"/>
          <w:color w:val="000000" w:themeColor="text1"/>
          <w:sz w:val="28"/>
          <w:szCs w:val="28"/>
        </w:rPr>
        <w:t xml:space="preserve">нарушением арендаторами договорных обязательств п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о</w:t>
      </w:r>
      <w:r>
        <w:rPr>
          <w:color w:val="000000" w:themeColor="text1"/>
          <w:sz w:val="28"/>
          <w:szCs w:val="28"/>
          <w:highlight w:val="none"/>
        </w:rPr>
        <w:t xml:space="preserve"> оплате.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ff0000"/>
          <w:sz w:val="28"/>
          <w:szCs w:val="28"/>
          <w:highlight w:val="yellow"/>
        </w:rPr>
        <w:suppressLineNumbers w:val="0"/>
      </w:pP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Дох</w:t>
      </w:r>
      <w:r>
        <w:rPr>
          <w:b/>
          <w:color w:val="auto"/>
          <w:sz w:val="28"/>
          <w:szCs w:val="28"/>
          <w:highlight w:val="white"/>
        </w:rPr>
        <w:t xml:space="preserve">о</w:t>
      </w:r>
      <w:r>
        <w:rPr>
          <w:b/>
          <w:color w:val="auto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auto"/>
          <w:sz w:val="28"/>
          <w:szCs w:val="28"/>
          <w:highlight w:val="white"/>
        </w:rPr>
        <w:t xml:space="preserve"> поступили в сумме 390 532,3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руб., что составляет 95,7</w:t>
      </w:r>
      <w:r>
        <w:rPr>
          <w:color w:val="auto"/>
          <w:sz w:val="28"/>
          <w:szCs w:val="28"/>
          <w:highlight w:val="white"/>
        </w:rPr>
        <w:t xml:space="preserve">% к плану отчетного периода</w:t>
      </w:r>
      <w:r>
        <w:rPr>
          <w:color w:val="auto"/>
          <w:sz w:val="28"/>
          <w:szCs w:val="28"/>
          <w:highlight w:val="white"/>
        </w:rPr>
        <w:t xml:space="preserve"> (408 184,4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руб.) и 6,7</w:t>
      </w:r>
      <w:r>
        <w:rPr>
          <w:color w:val="auto"/>
          <w:sz w:val="28"/>
          <w:szCs w:val="28"/>
          <w:highlight w:val="white"/>
        </w:rPr>
        <w:t xml:space="preserve">% к плану го</w:t>
      </w:r>
      <w:r>
        <w:rPr>
          <w:color w:val="auto"/>
          <w:sz w:val="28"/>
          <w:szCs w:val="28"/>
          <w:highlight w:val="white"/>
        </w:rPr>
        <w:t xml:space="preserve">да (</w:t>
      </w:r>
      <w:r>
        <w:rPr>
          <w:color w:val="auto"/>
          <w:sz w:val="28"/>
          <w:szCs w:val="28"/>
          <w:highlight w:val="white"/>
        </w:rPr>
        <w:t xml:space="preserve">5 831 845,6 </w:t>
      </w:r>
      <w:r>
        <w:rPr>
          <w:color w:val="auto"/>
          <w:sz w:val="28"/>
          <w:szCs w:val="28"/>
          <w:highlight w:val="white"/>
        </w:rPr>
        <w:t xml:space="preserve">тыс. </w:t>
      </w:r>
      <w:r>
        <w:rPr>
          <w:color w:val="auto"/>
          <w:sz w:val="28"/>
          <w:szCs w:val="28"/>
          <w:highlight w:val="white"/>
        </w:rPr>
        <w:t xml:space="preserve">руб.). </w:t>
      </w: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1276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58 252,7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102,7%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56 695,5</w:t>
      </w:r>
      <w:r>
        <w:rPr>
          <w:color w:val="000000" w:themeColor="text1"/>
          <w:sz w:val="28"/>
          <w:szCs w:val="28"/>
          <w:highlight w:val="white"/>
        </w:rPr>
        <w:t xml:space="preserve"> тыс. руб.) и </w:t>
      </w:r>
      <w:r>
        <w:rPr>
          <w:color w:val="000000" w:themeColor="text1"/>
          <w:sz w:val="28"/>
          <w:szCs w:val="28"/>
          <w:highlight w:val="white"/>
        </w:rPr>
        <w:t xml:space="preserve">8,7</w:t>
      </w:r>
      <w:r>
        <w:rPr>
          <w:color w:val="000000" w:themeColor="text1"/>
          <w:sz w:val="28"/>
          <w:szCs w:val="28"/>
          <w:highlight w:val="white"/>
        </w:rPr>
        <w:t xml:space="preserve">%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672 351,5</w:t>
      </w:r>
      <w:r>
        <w:rPr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48 054,0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96,7%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49 698,1</w:t>
      </w:r>
      <w:r>
        <w:rPr>
          <w:color w:val="000000" w:themeColor="text1"/>
          <w:sz w:val="28"/>
          <w:szCs w:val="28"/>
          <w:highlight w:val="white"/>
        </w:rPr>
        <w:t xml:space="preserve"> тыс. руб.) и 9,7%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494 433,2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276 584,7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или 91,8%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301 369,8</w:t>
      </w:r>
      <w:r>
        <w:rPr>
          <w:color w:val="000000" w:themeColor="text1"/>
          <w:sz w:val="28"/>
          <w:szCs w:val="28"/>
          <w:highlight w:val="white"/>
        </w:rPr>
        <w:t xml:space="preserve"> тыс. руб.) и 5,9%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4 658 773,5</w:t>
      </w:r>
      <w:r>
        <w:rPr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целом по доходам от платы за проезд выполнение составило 93,9% от плана отчетного периода.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ff0000"/>
          <w:sz w:val="28"/>
          <w:szCs w:val="28"/>
          <w:highlight w:val="yellow"/>
        </w:rPr>
        <w:suppressLineNumbers w:val="0"/>
      </w:pP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участков, находящихся в государственной и муниципальной собственности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14 268,3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значительно превышает план отчетного периода (</w:t>
      </w:r>
      <w:r>
        <w:rPr>
          <w:color w:val="000000" w:themeColor="text1"/>
          <w:sz w:val="28"/>
          <w:szCs w:val="28"/>
          <w:highlight w:val="white"/>
        </w:rPr>
        <w:t xml:space="preserve">653,8 тыс. руб.) и составляет 6,6</w:t>
      </w:r>
      <w:r>
        <w:rPr>
          <w:color w:val="000000" w:themeColor="text1"/>
          <w:sz w:val="28"/>
          <w:szCs w:val="28"/>
          <w:highlight w:val="white"/>
        </w:rPr>
        <w:t xml:space="preserve">% к плану года (216 854,0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увеличились на 11 464,7 тыс. руб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</w:t>
      </w:r>
      <w:r>
        <w:rPr>
          <w:color w:val="000000" w:themeColor="text1"/>
          <w:sz w:val="28"/>
          <w:szCs w:val="28"/>
          <w:highlight w:val="white"/>
        </w:rPr>
        <w:t xml:space="preserve">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ff0000"/>
          <w:sz w:val="28"/>
          <w:szCs w:val="28"/>
          <w:highlight w:val="white"/>
        </w:rPr>
        <w:suppressLineNumbers w:val="0"/>
      </w:pP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размере 2 721,5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90,7% плана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3 000,0</w:t>
      </w:r>
      <w:r>
        <w:rPr>
          <w:color w:val="000000" w:themeColor="text1"/>
          <w:sz w:val="28"/>
          <w:szCs w:val="28"/>
          <w:highlight w:val="white"/>
        </w:rPr>
        <w:t xml:space="preserve"> тыс. руб.) и 2,7% к  плану года (101 764,9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241,7 тыс. руб. </w:t>
      </w: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ff0000"/>
          <w:sz w:val="28"/>
          <w:szCs w:val="28"/>
          <w:highlight w:val="none"/>
        </w:rPr>
        <w:outlineLvl w:val="0"/>
        <w:suppressLineNumbers w:val="0"/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находящегося 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1 406,8 тыс. руб., что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составляет</w:t>
      </w:r>
      <w:r>
        <w:rPr>
          <w:color w:val="000000" w:themeColor="text1"/>
          <w:sz w:val="28"/>
          <w:szCs w:val="28"/>
          <w:highlight w:val="white"/>
        </w:rPr>
        <w:t xml:space="preserve"> 62,2% к плану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(2 261,4 тыс. руб.) и 2,8% к плану года (50 575,8 тыс. руб.)</w:t>
      </w:r>
      <w:r>
        <w:rPr>
          <w:color w:val="000000" w:themeColor="text1"/>
          <w:sz w:val="28"/>
          <w:szCs w:val="28"/>
          <w:highlight w:val="white"/>
        </w:rPr>
        <w:t xml:space="preserve">. Относительно аналогичного периода прошлого года поступления по данному виду дохода составили 14,2%.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В результате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доходы поступили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1 406,8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color w:val="000000" w:themeColor="text1"/>
          <w:sz w:val="28"/>
          <w:szCs w:val="28"/>
          <w:highlight w:val="white"/>
        </w:rPr>
        <w:t xml:space="preserve">что составляет 62,2% к плану отчетного периода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(2 261,4 тыс. руб.) и 4,8% к плану года (29 223,8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</w:rPr>
        <w:t xml:space="preserve">Невыполнение плана отчетного периода связано с низкой платежной дисциплиной плательщиков.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ff0000"/>
          <w:sz w:val="28"/>
          <w:szCs w:val="28"/>
          <w:highlight w:val="none"/>
        </w:rPr>
        <w:suppressLineNumbers w:val="0"/>
      </w:pPr>
      <w:r>
        <w:rPr>
          <w:rFonts w:eastAsia="Calibri"/>
          <w:color w:val="ff0000"/>
          <w:sz w:val="28"/>
          <w:szCs w:val="28"/>
          <w:highlight w:val="none"/>
        </w:rPr>
      </w:r>
      <w:r>
        <w:rPr>
          <w:rFonts w:eastAsia="Calibri"/>
          <w:color w:val="ff0000"/>
          <w:sz w:val="28"/>
          <w:szCs w:val="28"/>
          <w:highlight w:val="none"/>
        </w:rPr>
      </w:r>
      <w:r>
        <w:rPr>
          <w:rFonts w:eastAsia="Calibri"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П</w:t>
      </w:r>
      <w:r>
        <w:rPr>
          <w:b/>
          <w:color w:val="auto"/>
          <w:sz w:val="28"/>
          <w:szCs w:val="28"/>
          <w:highlight w:val="white"/>
        </w:rPr>
        <w:t xml:space="preserve">рочие неналоговые доходы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оступили в сумме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11 325,3</w:t>
      </w:r>
      <w:r>
        <w:rPr>
          <w:color w:val="auto"/>
          <w:sz w:val="28"/>
          <w:szCs w:val="28"/>
          <w:highlight w:val="none"/>
        </w:rPr>
        <w:t xml:space="preserve"> тыс. руб., что в 2,5 раза превышает план отчетного периода </w:t>
      </w:r>
      <w:r>
        <w:rPr>
          <w:rFonts w:eastAsia="Calibri"/>
          <w:color w:val="auto"/>
          <w:sz w:val="28"/>
          <w:szCs w:val="28"/>
          <w:highlight w:val="none"/>
        </w:rPr>
        <w:t xml:space="preserve">(4 600,0</w:t>
      </w:r>
      <w:r>
        <w:rPr>
          <w:rFonts w:eastAsia="Calibri"/>
          <w:color w:val="auto"/>
          <w:sz w:val="28"/>
          <w:szCs w:val="28"/>
          <w:highlight w:val="none"/>
        </w:rPr>
        <w:t xml:space="preserve"> тыс. руб.) и составляет </w:t>
      </w:r>
      <w:r>
        <w:rPr>
          <w:rFonts w:eastAsia="Calibri"/>
          <w:color w:val="auto"/>
          <w:sz w:val="28"/>
          <w:szCs w:val="28"/>
          <w:highlight w:val="none"/>
        </w:rPr>
        <w:t xml:space="preserve">8,1</w:t>
      </w:r>
      <w:r>
        <w:rPr>
          <w:rFonts w:eastAsia="Calibri"/>
          <w:color w:val="auto"/>
          <w:sz w:val="28"/>
          <w:szCs w:val="28"/>
          <w:highlight w:val="none"/>
        </w:rPr>
        <w:t xml:space="preserve"> % </w:t>
      </w:r>
      <w:r>
        <w:rPr>
          <w:rFonts w:eastAsia="Calibri"/>
          <w:color w:val="auto"/>
          <w:sz w:val="28"/>
          <w:szCs w:val="28"/>
          <w:highlight w:val="white"/>
        </w:rPr>
        <w:t xml:space="preserve">к плану года (139 604,7 тыс. руб.)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yellow"/>
        </w:rPr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i/>
          <w:color w:val="000000" w:themeColor="text1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поступила в сумме 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126,8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61,3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составляет 9,8% к плану года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(62 240,6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в сфере строительства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;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 раз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5 117,3 тыс. руб.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на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13,7%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превышает план отчетного периода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(4 500,0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 составляет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6,6%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годового планово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задания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77 364,1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ff0000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ff0000"/>
          <w:sz w:val="28"/>
          <w:szCs w:val="28"/>
          <w:highlight w:val="white"/>
        </w:rPr>
      </w:r>
      <w:r>
        <w:rPr>
          <w:b/>
          <w:bCs/>
          <w:color w:val="ff0000"/>
          <w:sz w:val="28"/>
          <w:szCs w:val="28"/>
          <w:highlight w:val="white"/>
        </w:rPr>
      </w:r>
      <w:r>
        <w:rPr>
          <w:b/>
          <w:bCs/>
          <w:color w:val="ff0000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strike w:val="0"/>
          <w:color w:val="000000" w:themeColor="text1"/>
          <w:sz w:val="28"/>
          <w:szCs w:val="28"/>
        </w:rPr>
      </w:pP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pStyle w:val="985"/>
        <w:numPr>
          <w:ilvl w:val="0"/>
          <w:numId w:val="38"/>
        </w:numPr>
        <w:jc w:val="center"/>
        <w:spacing w:line="240" w:lineRule="atLeas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85"/>
        <w:ind w:firstLine="360"/>
        <w:jc w:val="center"/>
        <w:spacing w:line="240" w:lineRule="atLeas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приложение 2 </w:t>
      </w:r>
      <w:r>
        <w:rPr>
          <w:sz w:val="28"/>
          <w:szCs w:val="28"/>
          <w:highlight w:val="white"/>
        </w:rPr>
        <w:t xml:space="preserve">к настоящей записке)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ind w:firstLine="709"/>
        <w:spacing w:line="240" w:lineRule="auto"/>
        <w:tabs>
          <w:tab w:val="left" w:pos="7938" w:leader="none"/>
        </w:tabs>
        <w:rPr>
          <w:b w:val="0"/>
          <w:bCs w:val="0"/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Кассовый расход бюджета (без учёта зарезервированных средств: на исполнение судебных исков, резервного фонда администрации города) на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 </w:t>
      </w:r>
      <w:r>
        <w:rPr>
          <w:sz w:val="28"/>
          <w:szCs w:val="28"/>
          <w:highlight w:val="white"/>
        </w:rPr>
        <w:t xml:space="preserve">февраля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составил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2 183 162,0 </w:t>
      </w:r>
      <w:r>
        <w:rPr>
          <w:sz w:val="28"/>
          <w:szCs w:val="28"/>
          <w:highlight w:val="white"/>
        </w:rPr>
        <w:t xml:space="preserve">тыс. руб., или </w:t>
      </w:r>
      <w:r>
        <w:rPr>
          <w:b/>
          <w:sz w:val="28"/>
          <w:szCs w:val="28"/>
          <w:highlight w:val="white"/>
        </w:rPr>
        <w:t xml:space="preserve">86,3% </w:t>
      </w:r>
      <w:r>
        <w:rPr>
          <w:sz w:val="28"/>
          <w:szCs w:val="28"/>
          <w:highlight w:val="white"/>
        </w:rPr>
        <w:t xml:space="preserve">от кассового</w:t>
      </w:r>
      <w:r>
        <w:rPr>
          <w:sz w:val="28"/>
          <w:szCs w:val="28"/>
          <w:highlight w:val="white"/>
        </w:rPr>
        <w:t xml:space="preserve"> плана отчетного периода</w:t>
      </w:r>
      <w:r>
        <w:rPr>
          <w:color w:val="ff0000"/>
          <w:sz w:val="28"/>
          <w:szCs w:val="28"/>
          <w:highlight w:val="white"/>
        </w:rPr>
        <w:t xml:space="preserve">               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2 529 704,4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руб.)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  <w:highlight w:val="white"/>
        </w:rPr>
        <w:t xml:space="preserve">3,1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годовых</w:t>
      </w:r>
      <w:r>
        <w:rPr>
          <w:sz w:val="28"/>
          <w:szCs w:val="28"/>
          <w:highlight w:val="white"/>
        </w:rPr>
        <w:t xml:space="preserve"> ассигнований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(70 851 463,5 </w:t>
      </w:r>
      <w:r>
        <w:rPr>
          <w:sz w:val="28"/>
          <w:szCs w:val="28"/>
          <w:highlight w:val="white"/>
        </w:rPr>
        <w:t xml:space="preserve">тыс. руб.).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Исполнение по расходам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 </w:t>
      </w:r>
      <w:r>
        <w:rPr>
          <w:sz w:val="28"/>
          <w:szCs w:val="28"/>
          <w:highlight w:val="white"/>
        </w:rPr>
        <w:t xml:space="preserve">2025</w:t>
      </w:r>
      <w:r>
        <w:rPr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составляло </w:t>
      </w:r>
      <w:r>
        <w:rPr>
          <w:color w:val="auto"/>
          <w:sz w:val="28"/>
          <w:szCs w:val="28"/>
          <w:highlight w:val="white"/>
        </w:rPr>
        <w:t xml:space="preserve">2 210 930,7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тыс.руб.,</w:t>
      </w:r>
      <w:r>
        <w:rPr>
          <w:color w:val="auto"/>
          <w:sz w:val="28"/>
          <w:szCs w:val="28"/>
          <w:highlight w:val="white"/>
        </w:rPr>
        <w:t xml:space="preserve">                          </w:t>
      </w:r>
      <w:r>
        <w:rPr>
          <w:color w:val="auto"/>
          <w:sz w:val="28"/>
          <w:szCs w:val="28"/>
          <w:highlight w:val="white"/>
        </w:rPr>
        <w:t xml:space="preserve">или 88,0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3,7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%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от годовых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ассигнований. </w:t>
      </w: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985"/>
        <w:spacing w:line="240" w:lineRule="auto"/>
        <w:rPr>
          <w:color w:val="c00000"/>
          <w:sz w:val="28"/>
          <w:szCs w:val="28"/>
          <w:highlight w:val="white"/>
        </w:rPr>
      </w:pPr>
      <w:r>
        <w:rPr>
          <w:color w:val="c00000"/>
          <w:sz w:val="28"/>
          <w:szCs w:val="28"/>
          <w:highlight w:val="white"/>
        </w:rPr>
        <w:t xml:space="preserve">       </w:t>
      </w:r>
      <w:r>
        <w:rPr>
          <w:color w:val="c00000"/>
          <w:sz w:val="28"/>
          <w:szCs w:val="28"/>
          <w:highlight w:val="white"/>
        </w:rPr>
      </w:r>
      <w:r>
        <w:rPr>
          <w:color w:val="c00000"/>
          <w:sz w:val="28"/>
          <w:szCs w:val="28"/>
          <w:highlight w:val="white"/>
        </w:rPr>
      </w:r>
    </w:p>
    <w:p>
      <w:pPr>
        <w:pStyle w:val="985"/>
        <w:ind w:firstLine="709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 в разрезе источников финансирования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firstLine="709"/>
        <w:spacing w:line="240" w:lineRule="atLeast"/>
        <w:rPr>
          <w:color w:val="ff0000"/>
          <w:sz w:val="20"/>
          <w:szCs w:val="16"/>
          <w:highlight w:val="white"/>
        </w:rPr>
      </w:pP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</w:p>
    <w:p>
      <w:pPr>
        <w:pStyle w:val="985"/>
        <w:ind w:firstLine="709"/>
        <w:spacing w:line="240" w:lineRule="atLeast"/>
        <w:rPr>
          <w:b/>
          <w:bCs/>
          <w:color w:val="auto"/>
          <w:sz w:val="20"/>
          <w:szCs w:val="20"/>
          <w:highlight w:val="white"/>
        </w:rPr>
      </w:pPr>
      <w:r>
        <w:rPr>
          <w:b/>
          <w:sz w:val="28"/>
          <w:szCs w:val="28"/>
          <w:highlight w:val="white"/>
        </w:rPr>
        <w:t xml:space="preserve">2.1. за счет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sz w:val="28"/>
          <w:szCs w:val="28"/>
          <w:highlight w:val="white"/>
        </w:rPr>
        <w:t xml:space="preserve">-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1 403 763,0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. руб., или </w:t>
      </w:r>
      <w:r>
        <w:rPr>
          <w:b/>
          <w:sz w:val="28"/>
          <w:szCs w:val="28"/>
          <w:highlight w:val="white"/>
        </w:rPr>
        <w:t xml:space="preserve">80,3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кассового</w:t>
      </w:r>
      <w:r>
        <w:rPr>
          <w:sz w:val="28"/>
          <w:szCs w:val="28"/>
          <w:highlight w:val="white"/>
        </w:rPr>
        <w:t xml:space="preserve"> плана</w:t>
      </w:r>
      <w:r>
        <w:rPr>
          <w:sz w:val="28"/>
          <w:szCs w:val="28"/>
          <w:highlight w:val="white"/>
        </w:rPr>
        <w:t xml:space="preserve"> отчетного периода –</w:t>
      </w:r>
      <w:r>
        <w:rPr>
          <w:color w:val="ff0000"/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1 747 394,1 </w:t>
      </w:r>
      <w:r>
        <w:rPr>
          <w:sz w:val="28"/>
          <w:szCs w:val="28"/>
          <w:highlight w:val="white"/>
        </w:rPr>
        <w:t xml:space="preserve">тыс. руб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3,4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 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Исполнение расходов                      за </w:t>
      </w:r>
      <w:r>
        <w:rPr>
          <w:color w:val="auto"/>
          <w:sz w:val="28"/>
          <w:szCs w:val="28"/>
          <w:highlight w:val="white"/>
        </w:rPr>
        <w:t xml:space="preserve">январь </w:t>
      </w:r>
      <w:r>
        <w:rPr>
          <w:color w:val="auto"/>
          <w:sz w:val="28"/>
          <w:szCs w:val="28"/>
          <w:highlight w:val="white"/>
        </w:rPr>
        <w:t xml:space="preserve">2</w:t>
      </w:r>
      <w:r>
        <w:rPr>
          <w:color w:val="auto"/>
          <w:sz w:val="28"/>
          <w:szCs w:val="28"/>
          <w:highlight w:val="white"/>
        </w:rPr>
        <w:t xml:space="preserve">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года составляло </w:t>
      </w:r>
      <w:r>
        <w:rPr>
          <w:color w:val="auto"/>
          <w:sz w:val="28"/>
          <w:szCs w:val="28"/>
          <w:highlight w:val="white"/>
        </w:rPr>
        <w:t xml:space="preserve">1 417 007,1</w:t>
      </w:r>
      <w:r>
        <w:rPr>
          <w:color w:val="auto"/>
          <w:sz w:val="28"/>
          <w:szCs w:val="28"/>
          <w:highlight w:val="white"/>
        </w:rPr>
        <w:t xml:space="preserve">тыс. руб., или 82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,5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 и 4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%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</w:t>
      </w:r>
      <w:r>
        <w:rPr>
          <w:color w:val="auto"/>
          <w:sz w:val="28"/>
          <w:szCs w:val="28"/>
          <w:highlight w:val="white"/>
        </w:rPr>
        <w:t xml:space="preserve"> ассигнований. </w:t>
      </w:r>
      <w:r>
        <w:rPr>
          <w:color w:val="auto"/>
          <w:sz w:val="28"/>
          <w:szCs w:val="28"/>
          <w:highlight w:val="white"/>
        </w:rPr>
        <w:t xml:space="preserve">     </w:t>
      </w:r>
      <w:r>
        <w:rPr>
          <w:b/>
          <w:bCs/>
          <w:color w:val="auto"/>
          <w:sz w:val="20"/>
          <w:szCs w:val="20"/>
          <w:highlight w:val="white"/>
        </w:rPr>
        <w:t xml:space="preserve">    </w:t>
      </w:r>
      <w:r>
        <w:rPr>
          <w:b/>
          <w:bCs/>
          <w:color w:val="auto"/>
          <w:sz w:val="20"/>
          <w:szCs w:val="20"/>
          <w:highlight w:val="white"/>
        </w:rPr>
        <w:t xml:space="preserve">   </w:t>
      </w:r>
      <w:r>
        <w:rPr>
          <w:b/>
          <w:bCs/>
          <w:color w:val="auto"/>
          <w:sz w:val="20"/>
          <w:szCs w:val="20"/>
          <w:highlight w:val="white"/>
        </w:rPr>
      </w:r>
      <w:r>
        <w:rPr>
          <w:b/>
          <w:bCs/>
          <w:color w:val="auto"/>
          <w:sz w:val="20"/>
          <w:szCs w:val="20"/>
          <w:highlight w:val="white"/>
        </w:rPr>
      </w:r>
    </w:p>
    <w:p>
      <w:pPr>
        <w:pStyle w:val="985"/>
        <w:ind w:firstLine="709"/>
        <w:spacing w:line="240" w:lineRule="atLeast"/>
        <w:tabs>
          <w:tab w:val="right" w:pos="10488" w:leader="none"/>
        </w:tabs>
        <w:rPr>
          <w:b/>
          <w:bCs/>
          <w:color w:val="ff0000"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   </w:t>
      </w:r>
      <w:r>
        <w:rPr>
          <w:b/>
          <w:bCs/>
          <w:sz w:val="16"/>
          <w:szCs w:val="20"/>
          <w:highlight w:val="white"/>
        </w:rPr>
        <w:t xml:space="preserve">   </w:t>
      </w:r>
      <w:r>
        <w:rPr>
          <w:b/>
          <w:bCs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ff0000"/>
          <w:sz w:val="20"/>
          <w:szCs w:val="20"/>
          <w:highlight w:val="white"/>
        </w:rPr>
        <w:tab/>
      </w:r>
      <w:r>
        <w:rPr>
          <w:b/>
          <w:bCs/>
          <w:color w:val="ff0000"/>
          <w:sz w:val="20"/>
          <w:szCs w:val="20"/>
          <w:highlight w:val="white"/>
        </w:rPr>
      </w:r>
      <w:r>
        <w:rPr>
          <w:b/>
          <w:bCs/>
          <w:color w:val="ff0000"/>
          <w:sz w:val="20"/>
          <w:szCs w:val="20"/>
          <w:highlight w:val="white"/>
        </w:rPr>
      </w:r>
    </w:p>
    <w:p>
      <w:pPr>
        <w:pStyle w:val="985"/>
        <w:ind w:firstLine="709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государственных полномочий, -</w:t>
      </w:r>
      <w:r>
        <w:rPr>
          <w:sz w:val="28"/>
          <w:szCs w:val="28"/>
          <w:highlight w:val="white"/>
        </w:rPr>
        <w:t xml:space="preserve">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773 990,7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. руб</w:t>
      </w:r>
      <w:r>
        <w:rPr>
          <w:sz w:val="28"/>
          <w:szCs w:val="28"/>
          <w:highlight w:val="white"/>
        </w:rPr>
        <w:t xml:space="preserve">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  <w:highlight w:val="white"/>
        </w:rPr>
        <w:t xml:space="preserve">99,6</w:t>
      </w:r>
      <w:r>
        <w:rPr>
          <w:b/>
          <w:sz w:val="28"/>
          <w:szCs w:val="28"/>
          <w:highlight w:val="white"/>
        </w:rPr>
        <w:t xml:space="preserve"> %</w:t>
      </w:r>
      <w:r>
        <w:rPr>
          <w:b/>
          <w:color w:val="ff0000"/>
          <w:sz w:val="28"/>
          <w:szCs w:val="28"/>
          <w:highlight w:val="white"/>
        </w:rPr>
        <w:t xml:space="preserve">                      </w:t>
      </w:r>
      <w:r>
        <w:rPr>
          <w:sz w:val="28"/>
          <w:szCs w:val="28"/>
          <w:highlight w:val="white"/>
        </w:rPr>
        <w:t xml:space="preserve">от кассового плана отчетного периода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776 902,0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</w:t>
      </w:r>
      <w:r>
        <w:rPr>
          <w:sz w:val="28"/>
          <w:szCs w:val="28"/>
          <w:highlight w:val="white"/>
        </w:rPr>
        <w:t xml:space="preserve"> руб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  <w:highlight w:val="white"/>
        </w:rPr>
        <w:t xml:space="preserve">4,1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</w:t>
      </w:r>
      <w:r>
        <w:rPr>
          <w:sz w:val="28"/>
          <w:szCs w:val="28"/>
          <w:highlight w:val="white"/>
        </w:rPr>
        <w:t xml:space="preserve"> ассигнований. </w:t>
      </w:r>
      <w:r>
        <w:rPr>
          <w:color w:val="auto"/>
          <w:sz w:val="28"/>
          <w:szCs w:val="28"/>
          <w:highlight w:val="white"/>
        </w:rPr>
        <w:t xml:space="preserve">Исполнение расходов за </w:t>
      </w:r>
      <w:r>
        <w:rPr>
          <w:color w:val="auto"/>
          <w:sz w:val="28"/>
          <w:szCs w:val="28"/>
          <w:highlight w:val="white"/>
        </w:rPr>
        <w:t xml:space="preserve">январь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2025</w:t>
      </w:r>
      <w:r>
        <w:rPr>
          <w:color w:val="auto"/>
          <w:sz w:val="28"/>
          <w:szCs w:val="28"/>
          <w:highlight w:val="white"/>
        </w:rPr>
        <w:t xml:space="preserve"> года составляло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727 623,5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руб.,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  <w:highlight w:val="white"/>
        </w:rPr>
        <w:t xml:space="preserve">99,8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 от кассового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4,4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ссигнований.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ind w:firstLine="709"/>
        <w:spacing w:line="240" w:lineRule="atLeast"/>
        <w:rPr>
          <w:color w:val="ff0000"/>
          <w:sz w:val="16"/>
          <w:szCs w:val="16"/>
          <w:highlight w:val="white"/>
        </w:rPr>
      </w:pP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</w:p>
    <w:p>
      <w:pPr>
        <w:pStyle w:val="985"/>
        <w:ind w:firstLine="720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2.3. за счет средств, переданных из краевого бюджета на выполнение полномочий городского округа, - </w:t>
      </w:r>
      <w:r>
        <w:rPr>
          <w:sz w:val="28"/>
          <w:szCs w:val="28"/>
          <w:highlight w:val="white"/>
        </w:rPr>
        <w:t xml:space="preserve">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5 408,3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  <w:highlight w:val="white"/>
        </w:rPr>
        <w:t xml:space="preserve">100,0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 кассового</w:t>
      </w:r>
      <w:r>
        <w:rPr>
          <w:sz w:val="28"/>
          <w:szCs w:val="28"/>
          <w:highlight w:val="white"/>
        </w:rPr>
        <w:t xml:space="preserve"> плана отчетного</w:t>
      </w:r>
      <w:r>
        <w:rPr>
          <w:sz w:val="28"/>
          <w:szCs w:val="28"/>
          <w:highlight w:val="white"/>
        </w:rPr>
        <w:t xml:space="preserve"> периода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5 408,3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  <w:highlight w:val="white"/>
        </w:rPr>
        <w:t xml:space="preserve">0,1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одовых </w:t>
      </w:r>
      <w:r>
        <w:rPr>
          <w:sz w:val="28"/>
          <w:szCs w:val="28"/>
          <w:highlight w:val="white"/>
        </w:rPr>
        <w:t xml:space="preserve">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Исполнение расходов за </w:t>
      </w:r>
      <w:r>
        <w:rPr>
          <w:color w:val="auto"/>
          <w:sz w:val="28"/>
          <w:szCs w:val="28"/>
          <w:highlight w:val="white"/>
        </w:rPr>
        <w:t xml:space="preserve">январ</w:t>
      </w:r>
      <w:r>
        <w:rPr>
          <w:color w:val="auto"/>
          <w:sz w:val="28"/>
          <w:szCs w:val="28"/>
          <w:highlight w:val="white"/>
        </w:rPr>
        <w:t xml:space="preserve">ь </w:t>
      </w:r>
      <w:r>
        <w:rPr>
          <w:color w:val="auto"/>
          <w:sz w:val="28"/>
          <w:szCs w:val="28"/>
          <w:highlight w:val="white"/>
        </w:rPr>
        <w:t xml:space="preserve">2025</w:t>
      </w:r>
      <w:r>
        <w:rPr>
          <w:color w:val="auto"/>
          <w:sz w:val="28"/>
          <w:szCs w:val="28"/>
          <w:highlight w:val="white"/>
        </w:rPr>
        <w:t xml:space="preserve"> года составляло</w:t>
      </w:r>
      <w:r>
        <w:rPr>
          <w:color w:val="auto"/>
          <w:sz w:val="28"/>
          <w:szCs w:val="28"/>
          <w:highlight w:val="white"/>
        </w:rPr>
        <w:t xml:space="preserve">                           </w:t>
      </w:r>
      <w:r>
        <w:rPr>
          <w:color w:val="auto"/>
          <w:sz w:val="28"/>
          <w:szCs w:val="28"/>
          <w:highlight w:val="white"/>
        </w:rPr>
        <w:t xml:space="preserve">66 300,1</w:t>
      </w:r>
      <w:r>
        <w:rPr>
          <w:color w:val="auto"/>
          <w:sz w:val="28"/>
          <w:szCs w:val="28"/>
          <w:highlight w:val="white"/>
        </w:rPr>
        <w:t xml:space="preserve">  </w:t>
      </w:r>
      <w:r>
        <w:rPr>
          <w:color w:val="auto"/>
          <w:sz w:val="28"/>
          <w:szCs w:val="28"/>
          <w:highlight w:val="white"/>
        </w:rPr>
        <w:t xml:space="preserve">тыс. руб., или </w:t>
      </w:r>
      <w:r>
        <w:rPr>
          <w:b/>
          <w:color w:val="auto"/>
          <w:sz w:val="28"/>
          <w:szCs w:val="28"/>
          <w:highlight w:val="white"/>
        </w:rPr>
        <w:t xml:space="preserve">100,0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  <w:highlight w:val="white"/>
        </w:rPr>
        <w:t xml:space="preserve">0,8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 ассигнований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ind w:firstLine="709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ind w:firstLine="709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январь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026</w:t>
      </w:r>
      <w:r>
        <w:rPr>
          <w:sz w:val="28"/>
          <w:szCs w:val="28"/>
          <w:highlight w:val="white"/>
        </w:rPr>
        <w:t xml:space="preserve"> года по источникам финансирования в разрезе главных распорядителей бюджетных средств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firstLine="709"/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b/>
          <w:sz w:val="28"/>
          <w:szCs w:val="28"/>
          <w:highlight w:val="white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  <w:highlight w:val="white"/>
        </w:rPr>
        <w:t xml:space="preserve">2.1. Исполнение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расходов местного бюджета: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85"/>
        <w:spacing w:line="240" w:lineRule="auto"/>
        <w:tabs>
          <w:tab w:val="num" w:pos="720" w:leader="none"/>
        </w:tabs>
        <w:rPr>
          <w:b/>
          <w:color w:val="ff0000"/>
          <w:sz w:val="16"/>
          <w:szCs w:val="16"/>
          <w:highlight w:val="white"/>
        </w:rPr>
      </w:pP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</w:p>
    <w:p>
      <w:pPr>
        <w:pStyle w:val="985"/>
        <w:ind w:firstLine="709"/>
        <w:spacing w:line="240" w:lineRule="auto"/>
        <w:tabs>
          <w:tab w:val="num" w:pos="720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выше 95,0 % </w:t>
      </w:r>
      <w:r>
        <w:rPr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капитального строительства – на уровне 100,0 %;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образования – на уровне</w:t>
      </w:r>
      <w:r>
        <w:rPr>
          <w:color w:val="auto"/>
          <w:sz w:val="28"/>
          <w:szCs w:val="28"/>
          <w:highlight w:val="white"/>
        </w:rPr>
        <w:t xml:space="preserve"> 100,0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Орджоникидзевского района </w:t>
      </w:r>
      <w:r>
        <w:rPr>
          <w:color w:val="auto"/>
          <w:sz w:val="28"/>
          <w:szCs w:val="28"/>
          <w:highlight w:val="white"/>
        </w:rPr>
        <w:t xml:space="preserve">– на уровне 100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Свердловского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99,9 %;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 земельных отношений</w:t>
      </w:r>
      <w:r>
        <w:rPr>
          <w:color w:val="auto"/>
          <w:sz w:val="28"/>
          <w:szCs w:val="28"/>
          <w:highlight w:val="white"/>
        </w:rPr>
        <w:t xml:space="preserve">– на уровне 99,7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управление жилищных отношений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99,4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Ленинского района</w:t>
      </w:r>
      <w:r>
        <w:rPr>
          <w:color w:val="auto"/>
          <w:sz w:val="28"/>
          <w:szCs w:val="28"/>
          <w:highlight w:val="white"/>
        </w:rPr>
        <w:t xml:space="preserve"> – на уровне </w:t>
      </w:r>
      <w:r>
        <w:rPr>
          <w:color w:val="auto"/>
          <w:sz w:val="28"/>
          <w:szCs w:val="28"/>
          <w:highlight w:val="white"/>
        </w:rPr>
        <w:t xml:space="preserve">99,3 %;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Дзержинского района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97,6 %;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финансов – на уровне</w:t>
      </w:r>
      <w:r>
        <w:rPr>
          <w:color w:val="auto"/>
          <w:sz w:val="28"/>
          <w:szCs w:val="28"/>
          <w:highlight w:val="white"/>
        </w:rPr>
        <w:t xml:space="preserve"> 95,7 %;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социальной политики – на уровне 95,6 %;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360" w:firstLine="0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highlight w:val="white"/>
        </w:rPr>
        <w:t xml:space="preserve">    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  ниже уровня 95,0 %, но выше </w:t>
      </w:r>
      <w:r>
        <w:rPr>
          <w:b/>
          <w:color w:val="auto"/>
          <w:sz w:val="28"/>
          <w:highlight w:val="white"/>
        </w:rPr>
        <w:t xml:space="preserve">86,3</w:t>
      </w:r>
      <w:r>
        <w:rPr>
          <w:b/>
          <w:color w:val="auto"/>
          <w:sz w:val="28"/>
          <w:highlight w:val="white"/>
        </w:rPr>
        <w:t xml:space="preserve"> % </w:t>
      </w:r>
      <w:r>
        <w:rPr>
          <w:color w:val="auto"/>
          <w:sz w:val="28"/>
          <w:highlight w:val="white"/>
        </w:rPr>
        <w:t xml:space="preserve">сложилось исполнение </w:t>
      </w:r>
      <w:r>
        <w:rPr>
          <w:color w:val="auto"/>
          <w:sz w:val="28"/>
          <w:szCs w:val="28"/>
          <w:highlight w:val="white"/>
        </w:rPr>
        <w:t xml:space="preserve">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4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культуры и молодежной политики</w:t>
      </w:r>
      <w:r>
        <w:rPr>
          <w:color w:val="auto"/>
          <w:sz w:val="28"/>
          <w:szCs w:val="28"/>
          <w:highlight w:val="white"/>
        </w:rPr>
        <w:t xml:space="preserve">– на уровне 94,8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5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контрольного департамента – на уровне 94,3 %;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города – на уровне 92,7 %;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к</w:t>
      </w:r>
      <w:r>
        <w:rPr>
          <w:color w:val="auto"/>
          <w:sz w:val="28"/>
          <w:szCs w:val="28"/>
          <w:highlight w:val="none"/>
        </w:rPr>
        <w:t xml:space="preserve">омитет по физкультуре и спорту</w:t>
      </w:r>
      <w:r>
        <w:rPr>
          <w:color w:val="auto"/>
          <w:sz w:val="28"/>
          <w:szCs w:val="28"/>
          <w:highlight w:val="white"/>
        </w:rPr>
        <w:t xml:space="preserve">– на уровне 92,7 %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 </w:t>
      </w:r>
      <w:r>
        <w:rPr>
          <w:color w:val="auto"/>
          <w:sz w:val="28"/>
          <w:szCs w:val="28"/>
          <w:highlight w:val="white"/>
        </w:rPr>
        <w:t xml:space="preserve">экономики и промышленной политики – на уровне 90,4%;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47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по экологии и природопользованию – на уровне 89,1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п. Новые Ляды – на уровне 89,1 %;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4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Индустриального района – на уровне 88,9 %;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4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градостроительства и архитектуры – на уровне 88,5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Кировского района – на уровне 87,4 %;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ind w:left="360"/>
        <w:spacing w:line="240" w:lineRule="auto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highlight w:val="white"/>
        </w:rPr>
        <w:t xml:space="preserve">     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ниже уровня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86,3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сложилось исполнение 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85"/>
        <w:numPr>
          <w:ilvl w:val="0"/>
          <w:numId w:val="1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имущественных отношений – на уровне 85,0 %;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77,7 %.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департамент</w:t>
      </w:r>
      <w:r>
        <w:rPr>
          <w:color w:val="auto"/>
          <w:sz w:val="28"/>
          <w:highlight w:val="white"/>
        </w:rPr>
        <w:t xml:space="preserve">а</w:t>
      </w:r>
      <w:r>
        <w:rPr>
          <w:color w:val="auto"/>
          <w:sz w:val="28"/>
          <w:highlight w:val="white"/>
        </w:rPr>
        <w:t xml:space="preserve"> транспорта – на уровне 72,7%;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администрации Мотовилихинского района – на уровне 67,0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65,0 %;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Пермской городской Думы – на уровне 60,1 %;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  <w:t xml:space="preserve">департамент дорог и благоустройства </w:t>
      </w:r>
      <w:r>
        <w:rPr>
          <w:color w:val="auto"/>
          <w:sz w:val="28"/>
          <w:highlight w:val="white"/>
        </w:rPr>
        <w:t xml:space="preserve"> – на уровне 46,1 %;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контрольно–счетной палаты города – на уровне 21,3 %.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spacing w:line="240" w:lineRule="auto"/>
        <w:tabs>
          <w:tab w:val="num" w:pos="900" w:leader="none"/>
        </w:tabs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b/>
          <w:color w:val="auto"/>
          <w:sz w:val="28"/>
          <w:szCs w:val="28"/>
        </w:rPr>
        <w:t xml:space="preserve">2.2. Исполнение расходов по переданным государственным полномочиям: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85"/>
        <w:spacing w:line="240" w:lineRule="auto"/>
        <w:rPr>
          <w:b/>
          <w:color w:val="auto"/>
          <w:sz w:val="16"/>
          <w:szCs w:val="20"/>
        </w:rPr>
      </w:pP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  <w:t xml:space="preserve">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образования – на уровне </w:t>
      </w:r>
      <w:r>
        <w:rPr>
          <w:color w:val="auto"/>
          <w:sz w:val="28"/>
          <w:szCs w:val="28"/>
        </w:rPr>
        <w:t xml:space="preserve">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 99,6 %;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55"/>
        </w:numPr>
        <w:rPr>
          <w:color w:val="auto" w:themeColor="accent1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 Свердловского района – </w:t>
      </w:r>
      <w:r>
        <w:rPr>
          <w:color w:val="auto"/>
          <w:sz w:val="28"/>
          <w:szCs w:val="28"/>
        </w:rPr>
        <w:t xml:space="preserve">на уровне</w:t>
      </w:r>
      <w:r>
        <w:rPr>
          <w:color w:val="auto"/>
          <w:sz w:val="28"/>
          <w:szCs w:val="28"/>
        </w:rPr>
        <w:t xml:space="preserve"> 96,7</w:t>
      </w:r>
      <w:r>
        <w:rPr>
          <w:color w:val="auto"/>
          <w:sz w:val="28"/>
          <w:szCs w:val="28"/>
        </w:rPr>
        <w:t xml:space="preserve"> %;</w:t>
      </w:r>
      <w:r>
        <w:rPr>
          <w:color w:val="auto" w:themeColor="accent1"/>
          <w:sz w:val="28"/>
          <w:szCs w:val="28"/>
        </w:rPr>
      </w:r>
      <w:r>
        <w:rPr>
          <w:color w:val="auto" w:themeColor="accent1"/>
          <w:sz w:val="28"/>
          <w:szCs w:val="28"/>
        </w:rPr>
      </w:r>
    </w:p>
    <w:p>
      <w:pPr>
        <w:ind w:left="360" w:firstLine="0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b/>
          <w:color w:val="auto"/>
          <w:sz w:val="16"/>
        </w:rPr>
      </w:pPr>
      <w:r>
        <w:rPr>
          <w:b/>
          <w:color w:val="auto"/>
          <w:sz w:val="16"/>
        </w:rPr>
      </w:r>
      <w:r>
        <w:rPr>
          <w:b/>
          <w:color w:val="auto"/>
          <w:sz w:val="16"/>
        </w:rPr>
      </w:r>
      <w:r>
        <w:rPr>
          <w:b/>
          <w:color w:val="auto"/>
          <w:sz w:val="16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</w:rPr>
        <w:tab/>
      </w:r>
      <w:r>
        <w:rPr>
          <w:b/>
          <w:color w:val="auto"/>
          <w:sz w:val="28"/>
          <w:szCs w:val="28"/>
        </w:rPr>
        <w:t xml:space="preserve">ниже 95,0 %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Дзержинского района – на уровне 93,8 %;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85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 87,2</w:t>
      </w:r>
      <w:r>
        <w:rPr>
          <w:color w:val="auto"/>
          <w:sz w:val="28"/>
          <w:szCs w:val="28"/>
        </w:rPr>
        <w:t xml:space="preserve"> %,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администрации Индустриального района – на уровне 86,2 %;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 социальной политики – на уровне 76,1 %;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85"/>
        <w:numPr>
          <w:ilvl w:val="0"/>
          <w:numId w:val="56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Орджоникидзевского района – на уровне 71,8 %;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85"/>
        <w:numPr>
          <w:ilvl w:val="0"/>
          <w:numId w:val="57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Кировского района – на уровне 73,4 %;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Мотовилихинского района – на уровне 46,7 %;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Ленинского района – на уровне 46,4 %;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п. Новые Ляды – на уровне</w:t>
      </w:r>
      <w:r>
        <w:rPr>
          <w:color w:val="auto"/>
          <w:sz w:val="28"/>
          <w:szCs w:val="28"/>
        </w:rPr>
        <w:t xml:space="preserve"> 43,1 %;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департамент транспорта – на уровне 22,0%;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57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  <w:t xml:space="preserve">контрольный департамент</w:t>
      </w:r>
      <w:r>
        <w:rPr>
          <w:color w:val="auto"/>
          <w:sz w:val="28"/>
          <w:szCs w:val="28"/>
        </w:rPr>
        <w:t xml:space="preserve">– на уровне 8,5 %;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numPr>
          <w:ilvl w:val="0"/>
          <w:numId w:val="1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0,8 %;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</w:rPr>
        <w:tab/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85"/>
        <w:spacing w:line="240" w:lineRule="auto"/>
        <w:tabs>
          <w:tab w:val="num" w:pos="720" w:leader="none"/>
        </w:tabs>
        <w:rPr>
          <w:b/>
          <w:color w:val="auto"/>
          <w:sz w:val="28"/>
        </w:rPr>
      </w:pPr>
      <w:r>
        <w:rPr>
          <w:b/>
          <w:color w:val="auto"/>
          <w:sz w:val="28"/>
        </w:rPr>
      </w:r>
      <w:r>
        <w:rPr>
          <w:b/>
          <w:color w:val="auto"/>
          <w:sz w:val="28"/>
        </w:rPr>
      </w:r>
      <w:r>
        <w:rPr>
          <w:b/>
          <w:color w:val="auto"/>
          <w:sz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 xml:space="preserve">2.3. Исполнение расходов по средствам, переданным из краевого бюджета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85"/>
        <w:spacing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на выполнение полномочий городского округа: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b/>
          <w:color w:val="auto"/>
          <w:sz w:val="16"/>
          <w:szCs w:val="20"/>
        </w:rPr>
      </w:pP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Исполнение расходов по средствам, переданным из краевого бюджета на выполнение полномочий городского округа, сложилось у департамента образования  - на уровне 100,0 %.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85"/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</w:rPr>
        <w:tab/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right"/>
    </w:pPr>
    <w:fldSimple w:instr="PAGE \* MERGEFORMAT">
      <w:r>
        <w:t xml:space="preserve">1</w:t>
      </w:r>
    </w:fldSimple>
    <w:r/>
    <w:r/>
  </w:p>
  <w:p>
    <w:pPr>
      <w:pStyle w:val="8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rPr>
        <w:rStyle w:val="993"/>
        <w:sz w:val="23"/>
        <w:szCs w:val="23"/>
      </w:rPr>
      <w:framePr w:wrap="around" w:vAnchor="text" w:hAnchor="margin" w:xAlign="right" w:y="1"/>
    </w:pPr>
    <w:r>
      <w:rPr>
        <w:rStyle w:val="993"/>
        <w:sz w:val="23"/>
        <w:szCs w:val="23"/>
      </w:rPr>
      <w:fldChar w:fldCharType="begin"/>
    </w:r>
    <w:r>
      <w:rPr>
        <w:rStyle w:val="993"/>
        <w:sz w:val="23"/>
        <w:szCs w:val="23"/>
      </w:rPr>
      <w:instrText xml:space="preserve">PAGE  </w:instrText>
    </w:r>
    <w:r>
      <w:rPr>
        <w:rStyle w:val="993"/>
        <w:sz w:val="23"/>
        <w:szCs w:val="23"/>
      </w:rPr>
      <w:fldChar w:fldCharType="end"/>
    </w:r>
    <w:r>
      <w:rPr>
        <w:rStyle w:val="993"/>
        <w:sz w:val="23"/>
        <w:szCs w:val="23"/>
      </w:rPr>
    </w:r>
    <w:r>
      <w:rPr>
        <w:rStyle w:val="993"/>
        <w:sz w:val="23"/>
        <w:szCs w:val="23"/>
      </w:rPr>
    </w:r>
  </w:p>
  <w:p>
    <w:pPr>
      <w:pStyle w:val="991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41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3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5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57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9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1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3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5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17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firstLine="0"/>
        <w:tabs>
          <w:tab w:val="num" w:pos="1724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25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7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3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1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5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55" w:hanging="1335"/>
      </w:pPr>
      <w:rPr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15" w:hanging="1335"/>
      </w:pPr>
      <w:rPr>
        <w:b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75" w:hanging="1335"/>
      </w:pPr>
      <w:rPr>
        <w:b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35" w:hanging="1335"/>
      </w:pPr>
      <w:rPr>
        <w:b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95" w:hanging="1335"/>
      </w:pPr>
      <w:rPr>
        <w:b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55" w:hanging="1335"/>
      </w:pPr>
      <w:rPr>
        <w:b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335"/>
      </w:pPr>
      <w:rPr>
        <w:b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75" w:hanging="1335"/>
      </w:pPr>
      <w:rPr>
        <w:b/>
        <w:color w:val="00000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4" w:hanging="284"/>
        <w:tabs>
          <w:tab w:val="num" w:pos="4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31"/>
  </w:num>
  <w:num w:numId="3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8"/>
  </w:num>
  <w:num w:numId="7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5"/>
  </w:num>
  <w:num w:numId="10">
    <w:abstractNumId w:val="12"/>
  </w:num>
  <w:num w:numId="11">
    <w:abstractNumId w:val="26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27"/>
  </w:num>
  <w:num w:numId="15">
    <w:abstractNumId w:val="29"/>
  </w:num>
  <w:num w:numId="16">
    <w:abstractNumId w:val="14"/>
  </w:num>
  <w:num w:numId="17">
    <w:abstractNumId w:val="6"/>
  </w:num>
  <w:num w:numId="18">
    <w:abstractNumId w:val="17"/>
  </w:num>
  <w:num w:numId="19">
    <w:abstractNumId w:val="11"/>
  </w:num>
  <w:num w:numId="20">
    <w:abstractNumId w:val="23"/>
  </w:num>
  <w:num w:numId="21">
    <w:abstractNumId w:val="20"/>
  </w:num>
  <w:num w:numId="22">
    <w:abstractNumId w:val="15"/>
  </w:num>
  <w:num w:numId="23">
    <w:abstractNumId w:val="1"/>
  </w:num>
  <w:num w:numId="2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30"/>
  </w:num>
  <w:num w:numId="28">
    <w:abstractNumId w:val="5"/>
  </w:num>
  <w:num w:numId="29">
    <w:abstractNumId w:val="19"/>
  </w:num>
  <w:num w:numId="30">
    <w:abstractNumId w:val="10"/>
  </w:num>
  <w:num w:numId="31">
    <w:abstractNumId w:val="8"/>
  </w:num>
  <w:num w:numId="32">
    <w:abstractNumId w:val="18"/>
  </w:num>
  <w:num w:numId="33">
    <w:abstractNumId w:val="2"/>
  </w:num>
  <w:num w:numId="34">
    <w:abstractNumId w:val="7"/>
  </w:num>
  <w:num w:numId="35">
    <w:abstractNumId w:val="22"/>
  </w:num>
  <w:num w:numId="36">
    <w:abstractNumId w:val="16"/>
  </w:num>
  <w:num w:numId="37">
    <w:abstractNumId w:val="28"/>
  </w:num>
  <w:num w:numId="38">
    <w:abstractNumId w:val="3"/>
  </w:num>
  <w:num w:numId="39">
    <w:abstractNumId w:val="32"/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  <w:num w:numId="45">
    <w:abstractNumId w:val="38"/>
  </w:num>
  <w:num w:numId="46">
    <w:abstractNumId w:val="39"/>
  </w:num>
  <w:num w:numId="47">
    <w:abstractNumId w:val="40"/>
  </w:num>
  <w:num w:numId="48">
    <w:abstractNumId w:val="41"/>
  </w:num>
  <w:num w:numId="49">
    <w:abstractNumId w:val="42"/>
  </w:num>
  <w:num w:numId="50">
    <w:abstractNumId w:val="43"/>
  </w:num>
  <w:num w:numId="51">
    <w:abstractNumId w:val="44"/>
  </w:num>
  <w:num w:numId="52">
    <w:abstractNumId w:val="45"/>
  </w:num>
  <w:num w:numId="53">
    <w:abstractNumId w:val="46"/>
  </w:num>
  <w:num w:numId="54">
    <w:abstractNumId w:val="47"/>
  </w:num>
  <w:num w:numId="55">
    <w:abstractNumId w:val="48"/>
  </w:num>
  <w:num w:numId="56">
    <w:abstractNumId w:val="49"/>
  </w:num>
  <w:num w:numId="57">
    <w:abstractNumId w:val="50"/>
  </w:num>
  <w:num w:numId="58">
    <w:abstractNumId w:val="51"/>
  </w:num>
  <w:num w:numId="59">
    <w:abstractNumId w:val="52"/>
  </w:num>
  <w:num w:numId="60">
    <w:abstractNumId w:val="53"/>
  </w:num>
  <w:num w:numId="6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7">
    <w:name w:val="Heading 1"/>
    <w:basedOn w:val="985"/>
    <w:next w:val="985"/>
    <w:link w:val="8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8">
    <w:name w:val="Heading 1 Char"/>
    <w:link w:val="807"/>
    <w:uiPriority w:val="9"/>
    <w:rPr>
      <w:rFonts w:ascii="Arial" w:hAnsi="Arial" w:eastAsia="Arial" w:cs="Arial"/>
      <w:sz w:val="40"/>
      <w:szCs w:val="40"/>
    </w:rPr>
  </w:style>
  <w:style w:type="paragraph" w:styleId="809">
    <w:name w:val="Heading 2"/>
    <w:basedOn w:val="985"/>
    <w:next w:val="985"/>
    <w:link w:val="8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0">
    <w:name w:val="Heading 2 Char"/>
    <w:link w:val="809"/>
    <w:uiPriority w:val="9"/>
    <w:rPr>
      <w:rFonts w:ascii="Arial" w:hAnsi="Arial" w:eastAsia="Arial" w:cs="Arial"/>
      <w:sz w:val="34"/>
    </w:rPr>
  </w:style>
  <w:style w:type="paragraph" w:styleId="811">
    <w:name w:val="Heading 3"/>
    <w:basedOn w:val="985"/>
    <w:next w:val="985"/>
    <w:link w:val="8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2">
    <w:name w:val="Heading 3 Char"/>
    <w:link w:val="811"/>
    <w:uiPriority w:val="9"/>
    <w:rPr>
      <w:rFonts w:ascii="Arial" w:hAnsi="Arial" w:eastAsia="Arial" w:cs="Arial"/>
      <w:sz w:val="30"/>
      <w:szCs w:val="30"/>
    </w:rPr>
  </w:style>
  <w:style w:type="paragraph" w:styleId="813">
    <w:name w:val="Heading 4"/>
    <w:basedOn w:val="985"/>
    <w:next w:val="985"/>
    <w:link w:val="8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>
    <w:name w:val="Heading 4 Char"/>
    <w:link w:val="813"/>
    <w:uiPriority w:val="9"/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985"/>
    <w:next w:val="985"/>
    <w:link w:val="8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>
    <w:name w:val="Heading 5 Char"/>
    <w:link w:val="815"/>
    <w:uiPriority w:val="9"/>
    <w:rPr>
      <w:rFonts w:ascii="Arial" w:hAnsi="Arial" w:eastAsia="Arial" w:cs="Arial"/>
      <w:b/>
      <w:bCs/>
      <w:sz w:val="24"/>
      <w:szCs w:val="24"/>
    </w:rPr>
  </w:style>
  <w:style w:type="paragraph" w:styleId="817">
    <w:name w:val="Heading 6"/>
    <w:basedOn w:val="985"/>
    <w:next w:val="985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>
    <w:name w:val="Heading 6 Char"/>
    <w:link w:val="817"/>
    <w:uiPriority w:val="9"/>
    <w:rPr>
      <w:rFonts w:ascii="Arial" w:hAnsi="Arial" w:eastAsia="Arial" w:cs="Arial"/>
      <w:b/>
      <w:bCs/>
      <w:sz w:val="22"/>
      <w:szCs w:val="22"/>
    </w:rPr>
  </w:style>
  <w:style w:type="paragraph" w:styleId="819">
    <w:name w:val="Heading 7"/>
    <w:basedOn w:val="985"/>
    <w:next w:val="985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>
    <w:name w:val="Heading 7 Char"/>
    <w:link w:val="8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1">
    <w:name w:val="Heading 8"/>
    <w:basedOn w:val="985"/>
    <w:next w:val="985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2">
    <w:name w:val="Heading 8 Char"/>
    <w:link w:val="821"/>
    <w:uiPriority w:val="9"/>
    <w:rPr>
      <w:rFonts w:ascii="Arial" w:hAnsi="Arial" w:eastAsia="Arial" w:cs="Arial"/>
      <w:i/>
      <w:iCs/>
      <w:sz w:val="22"/>
      <w:szCs w:val="22"/>
    </w:rPr>
  </w:style>
  <w:style w:type="paragraph" w:styleId="823">
    <w:name w:val="Heading 9"/>
    <w:basedOn w:val="985"/>
    <w:next w:val="985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>
    <w:name w:val="Heading 9 Char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985"/>
    <w:uiPriority w:val="34"/>
    <w:qFormat/>
    <w:pPr>
      <w:contextualSpacing/>
      <w:ind w:left="720"/>
    </w:pPr>
  </w:style>
  <w:style w:type="paragraph" w:styleId="826">
    <w:name w:val="No Spacing"/>
    <w:uiPriority w:val="1"/>
    <w:qFormat/>
    <w:pPr>
      <w:spacing w:before="0" w:after="0" w:line="240" w:lineRule="auto"/>
    </w:pPr>
  </w:style>
  <w:style w:type="paragraph" w:styleId="827">
    <w:name w:val="Title"/>
    <w:basedOn w:val="985"/>
    <w:next w:val="985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8">
    <w:name w:val="Title Char"/>
    <w:link w:val="827"/>
    <w:uiPriority w:val="10"/>
    <w:rPr>
      <w:sz w:val="48"/>
      <w:szCs w:val="48"/>
    </w:rPr>
  </w:style>
  <w:style w:type="paragraph" w:styleId="829">
    <w:name w:val="Subtitle"/>
    <w:basedOn w:val="985"/>
    <w:next w:val="985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>
    <w:name w:val="Subtitle Char"/>
    <w:link w:val="829"/>
    <w:uiPriority w:val="11"/>
    <w:rPr>
      <w:sz w:val="24"/>
      <w:szCs w:val="24"/>
    </w:rPr>
  </w:style>
  <w:style w:type="paragraph" w:styleId="831">
    <w:name w:val="Quote"/>
    <w:basedOn w:val="985"/>
    <w:next w:val="985"/>
    <w:link w:val="832"/>
    <w:uiPriority w:val="29"/>
    <w:qFormat/>
    <w:pPr>
      <w:ind w:left="720" w:right="720"/>
    </w:pPr>
    <w:rPr>
      <w:i/>
    </w:rPr>
  </w:style>
  <w:style w:type="character" w:styleId="832">
    <w:name w:val="Quote Char"/>
    <w:link w:val="831"/>
    <w:uiPriority w:val="29"/>
    <w:rPr>
      <w:i/>
    </w:rPr>
  </w:style>
  <w:style w:type="paragraph" w:styleId="833">
    <w:name w:val="Intense Quote"/>
    <w:basedOn w:val="985"/>
    <w:next w:val="985"/>
    <w:link w:val="8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>
    <w:name w:val="Intense Quote Char"/>
    <w:link w:val="833"/>
    <w:uiPriority w:val="30"/>
    <w:rPr>
      <w:i/>
    </w:rPr>
  </w:style>
  <w:style w:type="paragraph" w:styleId="835">
    <w:name w:val="Header"/>
    <w:basedOn w:val="985"/>
    <w:link w:val="8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6">
    <w:name w:val="Header Char"/>
    <w:link w:val="835"/>
    <w:uiPriority w:val="99"/>
  </w:style>
  <w:style w:type="paragraph" w:styleId="837">
    <w:name w:val="Footer"/>
    <w:basedOn w:val="985"/>
    <w:link w:val="8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8">
    <w:name w:val="Footer Char"/>
    <w:link w:val="837"/>
    <w:uiPriority w:val="99"/>
  </w:style>
  <w:style w:type="paragraph" w:styleId="839">
    <w:name w:val="Caption"/>
    <w:basedOn w:val="985"/>
    <w:next w:val="985"/>
    <w:link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0">
    <w:name w:val="Caption Char"/>
    <w:basedOn w:val="839"/>
    <w:link w:val="837"/>
    <w:uiPriority w:val="99"/>
  </w:style>
  <w:style w:type="table" w:styleId="8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7">
    <w:name w:val="Hyperlink"/>
    <w:uiPriority w:val="99"/>
    <w:unhideWhenUsed/>
    <w:rPr>
      <w:color w:val="0000ff" w:themeColor="hyperlink"/>
      <w:u w:val="single"/>
    </w:rPr>
  </w:style>
  <w:style w:type="paragraph" w:styleId="968">
    <w:name w:val="footnote text"/>
    <w:basedOn w:val="985"/>
    <w:link w:val="969"/>
    <w:uiPriority w:val="99"/>
    <w:semiHidden/>
    <w:unhideWhenUsed/>
    <w:pPr>
      <w:spacing w:after="40" w:line="240" w:lineRule="auto"/>
    </w:pPr>
    <w:rPr>
      <w:sz w:val="18"/>
    </w:rPr>
  </w:style>
  <w:style w:type="character" w:styleId="969">
    <w:name w:val="Footnote Text Char"/>
    <w:link w:val="968"/>
    <w:uiPriority w:val="99"/>
    <w:rPr>
      <w:sz w:val="18"/>
    </w:rPr>
  </w:style>
  <w:style w:type="character" w:styleId="970">
    <w:name w:val="footnote reference"/>
    <w:uiPriority w:val="99"/>
    <w:unhideWhenUsed/>
    <w:rPr>
      <w:vertAlign w:val="superscript"/>
    </w:rPr>
  </w:style>
  <w:style w:type="paragraph" w:styleId="971">
    <w:name w:val="endnote text"/>
    <w:basedOn w:val="985"/>
    <w:link w:val="972"/>
    <w:uiPriority w:val="99"/>
    <w:semiHidden/>
    <w:unhideWhenUsed/>
    <w:pPr>
      <w:spacing w:after="0" w:line="240" w:lineRule="auto"/>
    </w:pPr>
    <w:rPr>
      <w:sz w:val="20"/>
    </w:rPr>
  </w:style>
  <w:style w:type="character" w:styleId="972">
    <w:name w:val="Endnote Text Char"/>
    <w:link w:val="971"/>
    <w:uiPriority w:val="99"/>
    <w:rPr>
      <w:sz w:val="20"/>
    </w:rPr>
  </w:style>
  <w:style w:type="character" w:styleId="973">
    <w:name w:val="endnote reference"/>
    <w:uiPriority w:val="99"/>
    <w:semiHidden/>
    <w:unhideWhenUsed/>
    <w:rPr>
      <w:vertAlign w:val="superscript"/>
    </w:rPr>
  </w:style>
  <w:style w:type="paragraph" w:styleId="974">
    <w:name w:val="toc 1"/>
    <w:basedOn w:val="985"/>
    <w:next w:val="985"/>
    <w:uiPriority w:val="39"/>
    <w:unhideWhenUsed/>
    <w:pPr>
      <w:ind w:left="0" w:right="0" w:firstLine="0"/>
      <w:spacing w:after="57"/>
    </w:pPr>
  </w:style>
  <w:style w:type="paragraph" w:styleId="975">
    <w:name w:val="toc 2"/>
    <w:basedOn w:val="985"/>
    <w:next w:val="985"/>
    <w:uiPriority w:val="39"/>
    <w:unhideWhenUsed/>
    <w:pPr>
      <w:ind w:left="283" w:right="0" w:firstLine="0"/>
      <w:spacing w:after="57"/>
    </w:pPr>
  </w:style>
  <w:style w:type="paragraph" w:styleId="976">
    <w:name w:val="toc 3"/>
    <w:basedOn w:val="985"/>
    <w:next w:val="985"/>
    <w:uiPriority w:val="39"/>
    <w:unhideWhenUsed/>
    <w:pPr>
      <w:ind w:left="567" w:right="0" w:firstLine="0"/>
      <w:spacing w:after="57"/>
    </w:pPr>
  </w:style>
  <w:style w:type="paragraph" w:styleId="977">
    <w:name w:val="toc 4"/>
    <w:basedOn w:val="985"/>
    <w:next w:val="985"/>
    <w:uiPriority w:val="39"/>
    <w:unhideWhenUsed/>
    <w:pPr>
      <w:ind w:left="850" w:right="0" w:firstLine="0"/>
      <w:spacing w:after="57"/>
    </w:pPr>
  </w:style>
  <w:style w:type="paragraph" w:styleId="978">
    <w:name w:val="toc 5"/>
    <w:basedOn w:val="985"/>
    <w:next w:val="985"/>
    <w:uiPriority w:val="39"/>
    <w:unhideWhenUsed/>
    <w:pPr>
      <w:ind w:left="1134" w:right="0" w:firstLine="0"/>
      <w:spacing w:after="57"/>
    </w:pPr>
  </w:style>
  <w:style w:type="paragraph" w:styleId="979">
    <w:name w:val="toc 6"/>
    <w:basedOn w:val="985"/>
    <w:next w:val="985"/>
    <w:uiPriority w:val="39"/>
    <w:unhideWhenUsed/>
    <w:pPr>
      <w:ind w:left="1417" w:right="0" w:firstLine="0"/>
      <w:spacing w:after="57"/>
    </w:pPr>
  </w:style>
  <w:style w:type="paragraph" w:styleId="980">
    <w:name w:val="toc 7"/>
    <w:basedOn w:val="985"/>
    <w:next w:val="985"/>
    <w:uiPriority w:val="39"/>
    <w:unhideWhenUsed/>
    <w:pPr>
      <w:ind w:left="1701" w:right="0" w:firstLine="0"/>
      <w:spacing w:after="57"/>
    </w:pPr>
  </w:style>
  <w:style w:type="paragraph" w:styleId="981">
    <w:name w:val="toc 8"/>
    <w:basedOn w:val="985"/>
    <w:next w:val="985"/>
    <w:uiPriority w:val="39"/>
    <w:unhideWhenUsed/>
    <w:pPr>
      <w:ind w:left="1984" w:right="0" w:firstLine="0"/>
      <w:spacing w:after="57"/>
    </w:pPr>
  </w:style>
  <w:style w:type="paragraph" w:styleId="982">
    <w:name w:val="toc 9"/>
    <w:basedOn w:val="985"/>
    <w:next w:val="985"/>
    <w:uiPriority w:val="39"/>
    <w:unhideWhenUsed/>
    <w:pPr>
      <w:ind w:left="2268" w:right="0" w:firstLine="0"/>
      <w:spacing w:after="57"/>
    </w:pPr>
  </w:style>
  <w:style w:type="paragraph" w:styleId="983">
    <w:name w:val="TOC Heading"/>
    <w:uiPriority w:val="39"/>
    <w:unhideWhenUsed/>
  </w:style>
  <w:style w:type="paragraph" w:styleId="984">
    <w:name w:val="table of figures"/>
    <w:basedOn w:val="985"/>
    <w:next w:val="985"/>
    <w:uiPriority w:val="99"/>
    <w:unhideWhenUsed/>
    <w:pPr>
      <w:spacing w:after="0" w:afterAutospacing="0"/>
    </w:pPr>
  </w:style>
  <w:style w:type="paragraph" w:styleId="985" w:default="1">
    <w:name w:val="Normal"/>
    <w:next w:val="985"/>
    <w:link w:val="985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86">
    <w:name w:val="Основной шрифт абзаца"/>
    <w:next w:val="986"/>
    <w:link w:val="985"/>
    <w:uiPriority w:val="1"/>
    <w:unhideWhenUsed/>
  </w:style>
  <w:style w:type="table" w:styleId="987">
    <w:name w:val="Обычная таблица"/>
    <w:next w:val="987"/>
    <w:link w:val="985"/>
    <w:uiPriority w:val="99"/>
    <w:semiHidden/>
    <w:unhideWhenUsed/>
    <w:qFormat/>
    <w:tblPr/>
  </w:style>
  <w:style w:type="numbering" w:styleId="988">
    <w:name w:val="Нет списка"/>
    <w:next w:val="988"/>
    <w:link w:val="985"/>
    <w:uiPriority w:val="99"/>
    <w:semiHidden/>
    <w:unhideWhenUsed/>
  </w:style>
  <w:style w:type="paragraph" w:styleId="989">
    <w:name w:val="Основной текст с отступом"/>
    <w:basedOn w:val="985"/>
    <w:next w:val="989"/>
    <w:link w:val="990"/>
    <w:pPr>
      <w:ind w:firstLine="720"/>
      <w:spacing w:line="360" w:lineRule="auto"/>
    </w:pPr>
    <w:rPr>
      <w:sz w:val="28"/>
      <w:szCs w:val="20"/>
      <w:lang w:val="en-US"/>
    </w:rPr>
  </w:style>
  <w:style w:type="character" w:styleId="990">
    <w:name w:val="Основной текст с отступом Знак"/>
    <w:next w:val="990"/>
    <w:link w:val="98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1">
    <w:name w:val="Нижний колонтитул"/>
    <w:basedOn w:val="985"/>
    <w:next w:val="991"/>
    <w:link w:val="992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92">
    <w:name w:val="Нижний колонтитул Знак"/>
    <w:next w:val="992"/>
    <w:link w:val="9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3">
    <w:name w:val="Номер страницы"/>
    <w:basedOn w:val="986"/>
    <w:next w:val="993"/>
    <w:link w:val="985"/>
  </w:style>
  <w:style w:type="paragraph" w:styleId="994">
    <w:name w:val="Основной текст с отступом 2"/>
    <w:basedOn w:val="985"/>
    <w:next w:val="994"/>
    <w:link w:val="995"/>
    <w:pPr>
      <w:ind w:firstLine="720"/>
    </w:pPr>
    <w:rPr>
      <w:b/>
      <w:sz w:val="32"/>
      <w:szCs w:val="32"/>
      <w:lang w:val="en-US"/>
    </w:rPr>
  </w:style>
  <w:style w:type="character" w:styleId="995">
    <w:name w:val="Основной текст с отступом 2 Знак"/>
    <w:next w:val="995"/>
    <w:link w:val="994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996">
    <w:name w:val="Абзац списка"/>
    <w:basedOn w:val="985"/>
    <w:next w:val="996"/>
    <w:link w:val="985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997">
    <w:name w:val="Текст выноски"/>
    <w:basedOn w:val="985"/>
    <w:next w:val="997"/>
    <w:link w:val="998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998">
    <w:name w:val="Текст выноски Знак"/>
    <w:next w:val="998"/>
    <w:link w:val="9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99">
    <w:name w:val="Верхний колонтитул, Знак"/>
    <w:basedOn w:val="985"/>
    <w:next w:val="999"/>
    <w:link w:val="1000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1000">
    <w:name w:val="Верхний колонтитул Знак, Знак Знак1"/>
    <w:next w:val="1000"/>
    <w:link w:val="9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>
    <w:name w:val="Основной текст"/>
    <w:basedOn w:val="985"/>
    <w:next w:val="1001"/>
    <w:link w:val="1002"/>
    <w:uiPriority w:val="99"/>
    <w:unhideWhenUsed/>
    <w:pPr>
      <w:spacing w:after="120"/>
    </w:pPr>
  </w:style>
  <w:style w:type="character" w:styleId="1002">
    <w:name w:val="Основной текст Знак"/>
    <w:next w:val="1002"/>
    <w:link w:val="1001"/>
    <w:uiPriority w:val="99"/>
    <w:rPr>
      <w:rFonts w:ascii="Times New Roman" w:hAnsi="Times New Roman" w:eastAsia="Times New Roman"/>
      <w:sz w:val="24"/>
      <w:szCs w:val="24"/>
    </w:rPr>
  </w:style>
  <w:style w:type="paragraph" w:styleId="1003">
    <w:name w:val="Исполнитель"/>
    <w:basedOn w:val="1001"/>
    <w:next w:val="1003"/>
    <w:link w:val="985"/>
    <w:pPr>
      <w:jc w:val="left"/>
      <w:spacing w:line="240" w:lineRule="exact"/>
      <w:widowControl/>
    </w:pPr>
    <w:rPr>
      <w:szCs w:val="20"/>
    </w:rPr>
  </w:style>
  <w:style w:type="character" w:styleId="1004" w:default="1">
    <w:name w:val="Default Paragraph Font"/>
    <w:uiPriority w:val="1"/>
    <w:semiHidden/>
    <w:unhideWhenUsed/>
  </w:style>
  <w:style w:type="numbering" w:styleId="1005" w:default="1">
    <w:name w:val="No List"/>
    <w:uiPriority w:val="99"/>
    <w:semiHidden/>
    <w:unhideWhenUsed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Департамент финансов админситрации г.Перми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novoselova-oa</cp:lastModifiedBy>
  <cp:revision>4390</cp:revision>
  <dcterms:created xsi:type="dcterms:W3CDTF">2022-06-10T10:27:00Z</dcterms:created>
  <dcterms:modified xsi:type="dcterms:W3CDTF">2026-02-16T06:58:40Z</dcterms:modified>
  <cp:version>983040</cp:version>
</cp:coreProperties>
</file>