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27"/>
        <w:jc w:val="right"/>
        <w:spacing w:line="240" w:lineRule="atLeast"/>
        <w:rPr>
          <w:sz w:val="23"/>
          <w:szCs w:val="23"/>
        </w:rPr>
      </w:pPr>
      <w:r>
        <w:rPr>
          <w:sz w:val="23"/>
          <w:szCs w:val="23"/>
        </w:rPr>
        <w:t xml:space="preserve">Приложение 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1127"/>
        <w:jc w:val="right"/>
        <w:spacing w:line="240" w:lineRule="atLeast"/>
        <w:rPr>
          <w:sz w:val="23"/>
          <w:szCs w:val="23"/>
        </w:rPr>
      </w:pPr>
      <w:r>
        <w:rPr>
          <w:sz w:val="23"/>
          <w:szCs w:val="23"/>
        </w:rPr>
        <w:t xml:space="preserve">к письму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1127"/>
        <w:jc w:val="center"/>
        <w:spacing w:line="240" w:lineRule="auto"/>
        <w:rPr>
          <w:b/>
          <w:caps/>
          <w:sz w:val="20"/>
          <w:szCs w:val="31"/>
        </w:rPr>
      </w:pPr>
      <w:r>
        <w:rPr>
          <w:b/>
          <w:caps/>
          <w:sz w:val="20"/>
          <w:szCs w:val="31"/>
        </w:rPr>
      </w:r>
      <w:r>
        <w:rPr>
          <w:b/>
          <w:caps/>
          <w:sz w:val="20"/>
          <w:szCs w:val="31"/>
        </w:rPr>
      </w:r>
      <w:r>
        <w:rPr>
          <w:b/>
          <w:caps/>
          <w:sz w:val="20"/>
          <w:szCs w:val="31"/>
        </w:rPr>
      </w:r>
    </w:p>
    <w:p>
      <w:pPr>
        <w:pStyle w:val="1127"/>
        <w:jc w:val="center"/>
        <w:spacing w:line="240" w:lineRule="auto"/>
        <w:rPr>
          <w:b/>
          <w:caps/>
          <w:color w:val="000000" w:themeColor="text1"/>
          <w:sz w:val="32"/>
          <w:szCs w:val="32"/>
          <w:highlight w:val="white"/>
        </w:rPr>
      </w:pPr>
      <w:r>
        <w:rPr>
          <w:b/>
          <w:caps/>
          <w:color w:val="000000" w:themeColor="text1"/>
          <w:sz w:val="32"/>
          <w:szCs w:val="32"/>
          <w:highlight w:val="white"/>
        </w:rPr>
        <w:t xml:space="preserve">ОПЕРАТИВНЫЙ АНАЛИЗ Исполнения бюджета</w:t>
      </w:r>
      <w:r>
        <w:rPr>
          <w:b/>
          <w:caps/>
          <w:color w:val="000000" w:themeColor="text1"/>
          <w:sz w:val="32"/>
          <w:szCs w:val="32"/>
          <w:highlight w:val="white"/>
        </w:rPr>
      </w:r>
      <w:r>
        <w:rPr>
          <w:b/>
          <w:caps/>
          <w:color w:val="000000" w:themeColor="text1"/>
          <w:sz w:val="32"/>
          <w:szCs w:val="32"/>
          <w:highlight w:val="white"/>
        </w:rPr>
      </w:r>
    </w:p>
    <w:p>
      <w:pPr>
        <w:pStyle w:val="1127"/>
        <w:jc w:val="center"/>
        <w:spacing w:line="240" w:lineRule="auto"/>
        <w:rPr>
          <w:b/>
          <w:caps/>
          <w:color w:val="000000" w:themeColor="text1"/>
          <w:sz w:val="32"/>
          <w:szCs w:val="32"/>
          <w:highlight w:val="yellow"/>
        </w:rPr>
      </w:pPr>
      <w:r>
        <w:rPr>
          <w:b/>
          <w:caps/>
          <w:color w:val="000000" w:themeColor="text1"/>
          <w:sz w:val="32"/>
          <w:szCs w:val="32"/>
          <w:highlight w:val="white"/>
        </w:rPr>
        <w:t xml:space="preserve">города Перми </w:t>
      </w:r>
      <w:r>
        <w:rPr>
          <w:b/>
          <w:caps/>
          <w:color w:val="000000" w:themeColor="text1"/>
          <w:sz w:val="32"/>
          <w:szCs w:val="32"/>
          <w:highlight w:val="white"/>
        </w:rPr>
        <w:t xml:space="preserve">на </w:t>
      </w:r>
      <w:r>
        <w:rPr>
          <w:b/>
          <w:caps/>
          <w:color w:val="000000" w:themeColor="text1"/>
          <w:sz w:val="32"/>
          <w:szCs w:val="32"/>
          <w:highlight w:val="white"/>
        </w:rPr>
        <w:t xml:space="preserve">1 АПРЕЛЯ</w:t>
      </w:r>
      <w:r>
        <w:rPr>
          <w:b/>
          <w:caps/>
          <w:color w:val="000000" w:themeColor="text1"/>
          <w:sz w:val="32"/>
          <w:szCs w:val="32"/>
          <w:highlight w:val="white"/>
        </w:rPr>
        <w:t xml:space="preserve"> </w:t>
      </w:r>
      <w:r>
        <w:rPr>
          <w:b/>
          <w:caps/>
          <w:color w:val="000000" w:themeColor="text1"/>
          <w:sz w:val="32"/>
          <w:szCs w:val="32"/>
          <w:highlight w:val="white"/>
        </w:rPr>
        <w:t xml:space="preserve">2026</w:t>
      </w:r>
      <w:r>
        <w:rPr>
          <w:b/>
          <w:caps/>
          <w:color w:val="000000" w:themeColor="text1"/>
          <w:sz w:val="32"/>
          <w:szCs w:val="32"/>
          <w:highlight w:val="white"/>
        </w:rPr>
        <w:t xml:space="preserve"> года </w:t>
      </w:r>
      <w:r>
        <w:rPr>
          <w:b/>
          <w:caps/>
          <w:color w:val="000000" w:themeColor="text1"/>
          <w:sz w:val="32"/>
          <w:szCs w:val="32"/>
          <w:highlight w:val="yellow"/>
        </w:rPr>
      </w:r>
      <w:r>
        <w:rPr>
          <w:b/>
          <w:caps/>
          <w:color w:val="000000" w:themeColor="text1"/>
          <w:sz w:val="32"/>
          <w:szCs w:val="32"/>
          <w:highlight w:val="yellow"/>
        </w:rPr>
      </w:r>
    </w:p>
    <w:p>
      <w:pPr>
        <w:pStyle w:val="1127"/>
        <w:jc w:val="center"/>
        <w:spacing w:line="240" w:lineRule="auto"/>
        <w:rPr>
          <w:b/>
          <w:caps/>
          <w:color w:val="000000" w:themeColor="text1"/>
          <w:sz w:val="16"/>
          <w:szCs w:val="16"/>
        </w:rPr>
      </w:pPr>
      <w:r>
        <w:rPr>
          <w:b/>
          <w:caps/>
          <w:color w:val="000000" w:themeColor="text1"/>
          <w:sz w:val="16"/>
          <w:szCs w:val="16"/>
        </w:rPr>
      </w:r>
      <w:r>
        <w:rPr>
          <w:b/>
          <w:caps/>
          <w:color w:val="000000" w:themeColor="text1"/>
          <w:sz w:val="16"/>
          <w:szCs w:val="16"/>
        </w:rPr>
      </w:r>
      <w:r>
        <w:rPr>
          <w:b/>
          <w:caps/>
          <w:color w:val="000000" w:themeColor="text1"/>
          <w:sz w:val="16"/>
          <w:szCs w:val="16"/>
        </w:rPr>
      </w:r>
    </w:p>
    <w:p>
      <w:pPr>
        <w:pStyle w:val="1127"/>
        <w:jc w:val="center"/>
        <w:spacing w:line="240" w:lineRule="auto"/>
        <w:rPr>
          <w:b/>
          <w:caps/>
          <w:color w:val="ff0000"/>
          <w:sz w:val="32"/>
          <w:szCs w:val="32"/>
        </w:rPr>
      </w:pPr>
      <w:r>
        <w:rPr>
          <w:b/>
          <w:caps/>
          <w:color w:val="000000" w:themeColor="text1"/>
          <w:sz w:val="32"/>
          <w:szCs w:val="32"/>
        </w:rPr>
        <w:t xml:space="preserve">пояснительная записка</w:t>
      </w:r>
      <w:r>
        <w:rPr>
          <w:b/>
          <w:caps/>
          <w:color w:val="ff0000"/>
          <w:sz w:val="32"/>
          <w:szCs w:val="32"/>
        </w:rPr>
      </w:r>
      <w:r>
        <w:rPr>
          <w:b/>
          <w:caps/>
          <w:color w:val="ff0000"/>
          <w:sz w:val="32"/>
          <w:szCs w:val="32"/>
        </w:rPr>
      </w:r>
    </w:p>
    <w:p>
      <w:pPr>
        <w:ind w:firstLine="567"/>
        <w:spacing w:line="240" w:lineRule="auto"/>
        <w:rPr>
          <w:color w:val="ff0000"/>
        </w:rPr>
      </w:pPr>
      <w:r>
        <w:rPr>
          <w:color w:val="ff0000"/>
          <w:szCs w:val="28"/>
        </w:rPr>
      </w:r>
      <w:r>
        <w:rPr>
          <w:color w:val="ff0000"/>
        </w:rPr>
      </w:r>
      <w:r>
        <w:rPr>
          <w:color w:val="ff0000"/>
        </w:rPr>
      </w:r>
    </w:p>
    <w:p>
      <w:pPr>
        <w:ind w:firstLine="567"/>
        <w:spacing w:line="240" w:lineRule="auto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pStyle w:val="1127"/>
        <w:ind w:firstLine="567"/>
        <w:spacing w:line="240" w:lineRule="auto"/>
        <w:rPr>
          <w:color w:val="ff0000"/>
        </w:rPr>
      </w:pPr>
      <w:r>
        <w:rPr>
          <w:color w:val="ff0000"/>
          <w:szCs w:val="28"/>
        </w:rPr>
      </w:r>
      <w:r>
        <w:rPr>
          <w:color w:val="ff0000"/>
        </w:rPr>
      </w:r>
      <w:r>
        <w:rPr>
          <w:color w:val="ff0000"/>
        </w:rPr>
      </w:r>
    </w:p>
    <w:p>
      <w:pPr>
        <w:pStyle w:val="1127"/>
        <w:ind w:firstLine="709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Исполнение бюджета города Перми по состоянию на 1 </w:t>
      </w:r>
      <w:r>
        <w:rPr>
          <w:color w:val="000000" w:themeColor="text1"/>
          <w:sz w:val="28"/>
          <w:szCs w:val="28"/>
        </w:rPr>
        <w:t xml:space="preserve">апреля</w:t>
      </w:r>
      <w:r>
        <w:rPr>
          <w:color w:val="000000" w:themeColor="text1"/>
          <w:sz w:val="28"/>
          <w:szCs w:val="28"/>
        </w:rPr>
        <w:t xml:space="preserve"> 2</w:t>
      </w:r>
      <w:r>
        <w:rPr>
          <w:color w:val="000000" w:themeColor="text1"/>
          <w:sz w:val="28"/>
          <w:szCs w:val="28"/>
        </w:rPr>
        <w:t xml:space="preserve">0</w:t>
      </w:r>
      <w:r>
        <w:rPr>
          <w:color w:val="000000" w:themeColor="text1"/>
          <w:sz w:val="28"/>
          <w:szCs w:val="28"/>
        </w:rPr>
        <w:t xml:space="preserve">26</w:t>
      </w:r>
      <w:r>
        <w:rPr>
          <w:color w:val="000000" w:themeColor="text1"/>
          <w:sz w:val="28"/>
          <w:szCs w:val="28"/>
        </w:rPr>
        <w:t xml:space="preserve"> года </w:t>
      </w:r>
      <w:r>
        <w:rPr>
          <w:color w:val="000000" w:themeColor="text1"/>
          <w:sz w:val="28"/>
          <w:szCs w:val="28"/>
        </w:rPr>
        <w:t xml:space="preserve">                         </w:t>
      </w:r>
      <w:r>
        <w:rPr>
          <w:color w:val="000000" w:themeColor="text1"/>
          <w:sz w:val="28"/>
          <w:szCs w:val="28"/>
        </w:rPr>
        <w:t xml:space="preserve">по оперативным данным характеризуется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следующими показателями: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16"/>
          <w:szCs w:val="16"/>
        </w:rPr>
        <w:tab/>
      </w:r>
      <w:r>
        <w:rPr>
          <w:strike w:val="0"/>
          <w:color w:val="000000" w:themeColor="text1"/>
          <w:sz w:val="28"/>
          <w:szCs w:val="28"/>
        </w:rPr>
        <w:t xml:space="preserve">                                                                             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7"/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28"/>
          <w:szCs w:val="28"/>
        </w:rPr>
        <w:t xml:space="preserve">по доходам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сумме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12 722 874,2</w:t>
      </w:r>
      <w:r>
        <w:rPr>
          <w:color w:val="000000" w:themeColor="text1"/>
          <w:sz w:val="28"/>
          <w:szCs w:val="28"/>
        </w:rPr>
        <w:t xml:space="preserve">тыс.</w:t>
      </w:r>
      <w:r>
        <w:rPr>
          <w:color w:val="000000" w:themeColor="text1"/>
          <w:sz w:val="28"/>
          <w:szCs w:val="28"/>
        </w:rPr>
        <w:t xml:space="preserve"> руб.</w:t>
      </w:r>
      <w:r>
        <w:rPr>
          <w:b/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или 101,4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% </w:t>
      </w:r>
      <w:r>
        <w:rPr>
          <w:color w:val="000000" w:themeColor="text1"/>
          <w:sz w:val="28"/>
          <w:szCs w:val="28"/>
        </w:rPr>
        <w:t xml:space="preserve">от плана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 xml:space="preserve">ян</w:t>
      </w:r>
      <w:r>
        <w:rPr>
          <w:color w:val="000000" w:themeColor="text1"/>
          <w:sz w:val="28"/>
          <w:szCs w:val="28"/>
        </w:rPr>
        <w:t xml:space="preserve">варя-марта</w:t>
      </w:r>
      <w:r>
        <w:rPr>
          <w:color w:val="000000" w:themeColor="text1"/>
          <w:sz w:val="28"/>
          <w:szCs w:val="28"/>
        </w:rPr>
        <w:t xml:space="preserve"> 2026</w:t>
      </w:r>
      <w:r>
        <w:rPr>
          <w:color w:val="000000" w:themeColor="text1"/>
          <w:sz w:val="28"/>
          <w:szCs w:val="28"/>
        </w:rPr>
        <w:t xml:space="preserve"> года (</w:t>
      </w:r>
      <w:r>
        <w:rPr>
          <w:color w:val="000000" w:themeColor="text1"/>
          <w:sz w:val="28"/>
          <w:szCs w:val="28"/>
        </w:rPr>
        <w:t xml:space="preserve">12 543 387,4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руб.) </w:t>
      </w:r>
      <w:r>
        <w:rPr>
          <w:color w:val="000000" w:themeColor="text1"/>
          <w:sz w:val="28"/>
          <w:szCs w:val="28"/>
        </w:rPr>
        <w:t xml:space="preserve">и </w:t>
      </w:r>
      <w:r>
        <w:rPr>
          <w:b/>
          <w:bCs/>
          <w:color w:val="000000" w:themeColor="text1"/>
          <w:sz w:val="28"/>
          <w:szCs w:val="28"/>
        </w:rPr>
        <w:t xml:space="preserve">19,2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%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 xml:space="preserve">годового плана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(66 363 782,7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</w:t>
      </w:r>
      <w:r>
        <w:rPr>
          <w:color w:val="000000" w:themeColor="text1"/>
          <w:sz w:val="28"/>
          <w:szCs w:val="28"/>
        </w:rPr>
        <w:t xml:space="preserve">ыс. руб.). За аналогичный период  прошлого  года  поступления  доходов   составляли</w:t>
      </w:r>
      <w:r>
        <w:rPr>
          <w:color w:val="000000" w:themeColor="text1"/>
          <w:sz w:val="28"/>
          <w:szCs w:val="28"/>
        </w:rPr>
        <w:t xml:space="preserve"> 12 378 217,8 </w:t>
      </w:r>
      <w:r>
        <w:rPr>
          <w:color w:val="000000" w:themeColor="text1"/>
          <w:sz w:val="28"/>
          <w:szCs w:val="28"/>
        </w:rPr>
        <w:t xml:space="preserve">тыс. руб.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27"/>
        <w:ind w:firstLine="567"/>
        <w:spacing w:line="240" w:lineRule="atLeast"/>
        <w:rPr>
          <w:strike w:val="0"/>
          <w:color w:val="000000" w:themeColor="text1"/>
          <w:sz w:val="28"/>
          <w:szCs w:val="28"/>
        </w:rPr>
      </w:pPr>
      <w:r>
        <w:rPr>
          <w:color w:val="000000" w:themeColor="text1"/>
          <w:sz w:val="16"/>
          <w:szCs w:val="16"/>
        </w:rPr>
      </w:r>
      <w:r>
        <w:rPr>
          <w:strike w:val="0"/>
          <w:color w:val="000000" w:themeColor="text1"/>
          <w:sz w:val="28"/>
          <w:szCs w:val="28"/>
        </w:rPr>
        <w:t xml:space="preserve">Анализ поступления доходов бюджета за 20</w:t>
      </w:r>
      <w:r>
        <w:rPr>
          <w:strike w:val="0"/>
          <w:color w:val="000000" w:themeColor="text1"/>
          <w:sz w:val="28"/>
          <w:szCs w:val="28"/>
        </w:rPr>
        <w:t xml:space="preserve">25</w:t>
      </w:r>
      <w:r>
        <w:rPr>
          <w:strike w:val="0"/>
          <w:color w:val="000000" w:themeColor="text1"/>
          <w:sz w:val="28"/>
          <w:szCs w:val="28"/>
        </w:rPr>
        <w:t xml:space="preserve"> и 2026</w:t>
      </w:r>
      <w:r>
        <w:rPr>
          <w:strike w:val="0"/>
          <w:color w:val="000000" w:themeColor="text1"/>
          <w:sz w:val="28"/>
          <w:szCs w:val="28"/>
        </w:rPr>
        <w:t xml:space="preserve"> год</w:t>
      </w:r>
      <w:r>
        <w:rPr>
          <w:strike w:val="0"/>
          <w:color w:val="000000" w:themeColor="text1"/>
          <w:sz w:val="28"/>
          <w:szCs w:val="28"/>
        </w:rPr>
        <w:t xml:space="preserve">ы</w:t>
      </w:r>
      <w:r>
        <w:rPr>
          <w:strike w:val="0"/>
          <w:color w:val="000000" w:themeColor="text1"/>
          <w:sz w:val="28"/>
          <w:szCs w:val="28"/>
        </w:rPr>
        <w:t xml:space="preserve"> приведен в следующей таблице:  </w:t>
      </w:r>
      <w:r>
        <w:rPr>
          <w:strike w:val="0"/>
          <w:color w:val="000000" w:themeColor="text1"/>
          <w:sz w:val="28"/>
          <w:szCs w:val="28"/>
        </w:rPr>
      </w:r>
      <w:r>
        <w:rPr>
          <w:strike w:val="0"/>
          <w:color w:val="000000" w:themeColor="text1"/>
          <w:sz w:val="28"/>
          <w:szCs w:val="28"/>
        </w:rPr>
      </w:r>
    </w:p>
    <w:p>
      <w:pPr>
        <w:ind w:firstLine="567"/>
        <w:jc w:val="center"/>
        <w:spacing w:line="240" w:lineRule="atLeast"/>
        <w:rPr>
          <w:strike w:val="0"/>
          <w:color w:val="000000" w:themeColor="text1"/>
          <w:sz w:val="28"/>
          <w:szCs w:val="28"/>
          <w:highlight w:val="none"/>
        </w:rPr>
      </w:pPr>
      <w:r>
        <w:rPr>
          <w:strike w:val="0"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>
        <w:rPr>
          <w:strike w:val="0"/>
          <w:color w:val="000000" w:themeColor="text1"/>
          <w:sz w:val="18"/>
          <w:szCs w:val="18"/>
        </w:rPr>
        <w:t xml:space="preserve">  </w:t>
      </w:r>
      <w:r>
        <w:rPr>
          <w:strike w:val="0"/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(тыс.руб.)</w:t>
      </w:r>
      <w:r>
        <w:rPr>
          <w:strike w:val="0"/>
          <w:color w:val="000000" w:themeColor="text1"/>
          <w:sz w:val="28"/>
          <w:szCs w:val="28"/>
          <w:highlight w:val="none"/>
        </w:rPr>
      </w:r>
      <w:r>
        <w:rPr>
          <w:strike w:val="0"/>
          <w:color w:val="000000" w:themeColor="text1"/>
          <w:sz w:val="28"/>
          <w:szCs w:val="28"/>
          <w:highlight w:val="none"/>
        </w:rPr>
      </w:r>
    </w:p>
    <w:p>
      <w:pPr>
        <w:ind w:firstLine="567"/>
        <w:jc w:val="center"/>
        <w:spacing w:line="240" w:lineRule="atLeast"/>
        <w:rPr>
          <w:strike w:val="0"/>
          <w:color w:val="ff0000"/>
          <w:sz w:val="28"/>
          <w:szCs w:val="28"/>
        </w:rPr>
      </w:pPr>
      <w:r>
        <w:rPr>
          <w:strike w:val="0"/>
          <w:color w:val="ff0000"/>
          <w:sz w:val="28"/>
          <w:szCs w:val="28"/>
        </w:rPr>
      </w:r>
      <w:r>
        <w:rPr>
          <w:strike w:val="0"/>
          <w:color w:val="ff0000"/>
          <w:sz w:val="28"/>
          <w:szCs w:val="28"/>
        </w:rPr>
      </w:r>
      <w:r>
        <w:rPr>
          <w:strike w:val="0"/>
          <w:color w:val="ff0000"/>
          <w:sz w:val="28"/>
          <w:szCs w:val="28"/>
        </w:rPr>
      </w:r>
    </w:p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3610"/>
        <w:gridCol w:w="1701"/>
        <w:gridCol w:w="1701"/>
        <w:gridCol w:w="1579"/>
        <w:gridCol w:w="1331"/>
      </w:tblGrid>
      <w:tr>
        <w:tblPrEx/>
        <w:trPr>
          <w:trHeight w:val="96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Наименование показателя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Факт на 01.04.2025    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Факт на 01.04.2026    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Отклонение поступлений 2026 года от 2025 года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Отношение поступлений 2026 года к 2025 году, %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2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0" w:type="dxa"/>
            <w:vAlign w:val="bottom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Налоговые и неналоговые доходы, в том числе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6 330 739,2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6 847 114,5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516 375,3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31" w:type="dxa"/>
            <w:vAlign w:val="center"/>
            <w:textDirection w:val="lrTb"/>
            <w:noWrap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108,2%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5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0" w:type="dxa"/>
            <w:vAlign w:val="bottom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   налоговые доходы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4 424 199,2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4 797 870,0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373 670,8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31" w:type="dxa"/>
            <w:vAlign w:val="center"/>
            <w:textDirection w:val="lrTb"/>
            <w:noWrap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108,4%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4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0" w:type="dxa"/>
            <w:vAlign w:val="bottom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   неналоговые доходы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1 906 540,0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2 049 244,5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142 704,5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31" w:type="dxa"/>
            <w:vAlign w:val="center"/>
            <w:textDirection w:val="lrTb"/>
            <w:noWrap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107,5%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8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0" w:type="dxa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Безвозмездные поступления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6 047 478,6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5 875 759,7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79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-171 718,9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31" w:type="dxa"/>
            <w:vAlign w:val="center"/>
            <w:textDirection w:val="lrTb"/>
            <w:noWrap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97,2%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19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0" w:type="dxa"/>
            <w:vAlign w:val="bottom"/>
            <w:textDirection w:val="lrTb"/>
            <w:noWrap w:val="false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2"/>
                <w:u w:val="none"/>
                <w:vertAlign w:val="baseline"/>
              </w:rPr>
              <w:t xml:space="preserve">Всего доходов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12 378 217,8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701" w:type="dxa"/>
            <w:vAlign w:val="center"/>
            <w:textDirection w:val="lrTb"/>
            <w:noWrap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12 722 874,2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579" w:type="dxa"/>
            <w:vAlign w:val="center"/>
            <w:textDirection w:val="lrTb"/>
            <w:noWrap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344 656,4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31" w:type="dxa"/>
            <w:vAlign w:val="center"/>
            <w:textDirection w:val="lrTb"/>
            <w:noWrap/>
          </w:tcPr>
          <w:p>
            <w:pPr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 w:themeColor="text1"/>
                <w:sz w:val="24"/>
                <w:u w:val="none"/>
                <w:vertAlign w:val="baseline"/>
              </w:rPr>
              <w:t xml:space="preserve">102,8%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ind w:firstLine="0"/>
        <w:spacing w:line="240" w:lineRule="auto"/>
        <w:tabs>
          <w:tab w:val="left" w:pos="0" w:leader="none"/>
          <w:tab w:val="left" w:pos="709" w:leader="none"/>
        </w:tabs>
        <w:rPr>
          <w:color w:val="ff0000"/>
          <w:sz w:val="28"/>
          <w:szCs w:val="28"/>
          <w:highlight w:val="none"/>
          <w14:ligatures w14:val="none"/>
        </w:rPr>
      </w:pPr>
      <w:r>
        <w:rPr>
          <w:strike w:val="0"/>
          <w:color w:val="ff0000"/>
          <w:sz w:val="28"/>
          <w:szCs w:val="28"/>
        </w:rPr>
        <w:t xml:space="preserve">      </w:t>
      </w:r>
      <w:r>
        <w:rPr>
          <w:color w:val="ff0000"/>
          <w:sz w:val="28"/>
          <w:szCs w:val="28"/>
          <w:highlight w:val="none"/>
          <w14:ligatures w14:val="none"/>
        </w:rPr>
      </w:r>
      <w:r>
        <w:rPr>
          <w:color w:val="ff0000"/>
          <w:sz w:val="28"/>
          <w:szCs w:val="28"/>
          <w:highlight w:val="none"/>
          <w14:ligatures w14:val="none"/>
        </w:rPr>
      </w:r>
    </w:p>
    <w:p>
      <w:pPr>
        <w:ind w:firstLine="567"/>
        <w:spacing w:line="240" w:lineRule="atLeast"/>
        <w:rPr>
          <w:strike w:val="0"/>
          <w:color w:val="ff0000"/>
          <w:sz w:val="28"/>
          <w:szCs w:val="28"/>
        </w:rPr>
      </w:pPr>
      <w:r>
        <w:rPr>
          <w:strike w:val="0"/>
          <w:color w:val="ff0000"/>
          <w:sz w:val="28"/>
          <w:szCs w:val="28"/>
        </w:rPr>
      </w:r>
      <w:r>
        <w:rPr>
          <w:strike w:val="0"/>
          <w:color w:val="ff0000"/>
          <w:sz w:val="28"/>
          <w:szCs w:val="28"/>
        </w:rPr>
      </w:r>
      <w:r>
        <w:rPr>
          <w:strike w:val="0"/>
          <w:color w:val="ff0000"/>
          <w:sz w:val="28"/>
          <w:szCs w:val="28"/>
        </w:rPr>
      </w:r>
    </w:p>
    <w:p>
      <w:pPr>
        <w:pStyle w:val="1127"/>
        <w:ind w:firstLine="567"/>
        <w:spacing w:line="240" w:lineRule="auto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ff0000"/>
          <w:sz w:val="20"/>
        </w:rPr>
        <w:t xml:space="preserve">   </w:t>
      </w:r>
      <w:r>
        <w:rPr>
          <w:rFonts w:ascii="Times New Roman" w:hAnsi="Times New Roman" w:eastAsia="Times New Roman" w:cs="Times New Roman"/>
          <w:color w:val="ff0000"/>
        </w:rPr>
        <w:t xml:space="preserve">  </w:t>
      </w:r>
      <w:r>
        <w:rPr>
          <w:b/>
          <w:color w:val="000000" w:themeColor="text1"/>
          <w:sz w:val="28"/>
          <w:szCs w:val="28"/>
        </w:rPr>
        <w:t xml:space="preserve">по </w:t>
      </w:r>
      <w:r>
        <w:rPr>
          <w:b/>
          <w:color w:val="000000" w:themeColor="text1"/>
          <w:sz w:val="28"/>
          <w:szCs w:val="28"/>
        </w:rPr>
        <w:t xml:space="preserve">расходам</w:t>
      </w:r>
      <w:r>
        <w:rPr>
          <w:color w:val="000000" w:themeColor="text1"/>
          <w:sz w:val="28"/>
          <w:szCs w:val="28"/>
        </w:rPr>
        <w:t xml:space="preserve"> - в </w:t>
      </w:r>
      <w:r>
        <w:rPr>
          <w:color w:val="000000" w:themeColor="text1"/>
          <w:sz w:val="28"/>
          <w:szCs w:val="28"/>
        </w:rPr>
        <w:t xml:space="preserve">сумме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13 341 159,3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</w:t>
      </w:r>
      <w:r>
        <w:rPr>
          <w:color w:val="000000" w:themeColor="text1"/>
          <w:sz w:val="28"/>
          <w:szCs w:val="28"/>
        </w:rPr>
        <w:t xml:space="preserve">. руб.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или </w:t>
      </w:r>
      <w:r>
        <w:rPr>
          <w:b/>
          <w:bCs/>
          <w:color w:val="000000" w:themeColor="text1"/>
          <w:sz w:val="28"/>
          <w:szCs w:val="28"/>
        </w:rPr>
        <w:t xml:space="preserve">96,8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%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кассового</w:t>
      </w:r>
      <w:r>
        <w:rPr>
          <w:color w:val="000000" w:themeColor="text1"/>
          <w:sz w:val="28"/>
          <w:szCs w:val="28"/>
        </w:rPr>
        <w:t xml:space="preserve"> плана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</w:t>
      </w:r>
      <w:r>
        <w:rPr>
          <w:color w:val="000000" w:themeColor="text1"/>
          <w:sz w:val="28"/>
          <w:szCs w:val="28"/>
        </w:rPr>
        <w:t xml:space="preserve">января-марта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0</w:t>
      </w:r>
      <w:r>
        <w:rPr>
          <w:color w:val="000000" w:themeColor="text1"/>
          <w:sz w:val="28"/>
          <w:szCs w:val="28"/>
        </w:rPr>
        <w:t xml:space="preserve">26</w:t>
      </w:r>
      <w:r>
        <w:rPr>
          <w:color w:val="000000" w:themeColor="text1"/>
          <w:sz w:val="28"/>
          <w:szCs w:val="28"/>
        </w:rPr>
        <w:t xml:space="preserve"> года (13 775 450,9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руб.</w:t>
      </w:r>
      <w:r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и </w:t>
      </w:r>
      <w:r>
        <w:rPr>
          <w:b/>
          <w:bCs/>
          <w:color w:val="000000" w:themeColor="text1"/>
          <w:sz w:val="28"/>
          <w:szCs w:val="28"/>
        </w:rPr>
        <w:t xml:space="preserve">19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%</w:t>
      </w:r>
      <w:r>
        <w:rPr>
          <w:color w:val="000000" w:themeColor="text1"/>
          <w:sz w:val="28"/>
          <w:szCs w:val="28"/>
        </w:rPr>
        <w:t xml:space="preserve"> от</w:t>
      </w:r>
      <w:r>
        <w:rPr>
          <w:color w:val="000000" w:themeColor="text1"/>
          <w:sz w:val="28"/>
          <w:szCs w:val="28"/>
        </w:rPr>
        <w:t xml:space="preserve"> годовых ассигнований</w:t>
      </w:r>
      <w:r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 xml:space="preserve">(70 094 782,8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</w:t>
      </w:r>
      <w:r>
        <w:rPr>
          <w:color w:val="000000" w:themeColor="text1"/>
          <w:sz w:val="28"/>
          <w:szCs w:val="28"/>
        </w:rPr>
        <w:t xml:space="preserve">ыс.</w:t>
      </w:r>
      <w:r>
        <w:rPr>
          <w:color w:val="000000" w:themeColor="text1"/>
          <w:sz w:val="28"/>
          <w:szCs w:val="28"/>
        </w:rPr>
        <w:t xml:space="preserve">руб.). </w:t>
      </w:r>
      <w:r>
        <w:rPr>
          <w:color w:val="000000" w:themeColor="text1"/>
          <w:sz w:val="28"/>
          <w:szCs w:val="28"/>
          <w:highlight w:val="white"/>
        </w:rPr>
        <w:t xml:space="preserve">К</w:t>
      </w:r>
      <w:r>
        <w:rPr>
          <w:bCs/>
          <w:color w:val="000000" w:themeColor="text1"/>
          <w:sz w:val="28"/>
          <w:szCs w:val="28"/>
          <w:highlight w:val="white"/>
        </w:rPr>
        <w:t xml:space="preserve">ассовый</w:t>
      </w:r>
      <w:r>
        <w:rPr>
          <w:bCs/>
          <w:color w:val="000000" w:themeColor="text1"/>
          <w:sz w:val="28"/>
          <w:szCs w:val="28"/>
          <w:highlight w:val="white"/>
        </w:rPr>
        <w:t xml:space="preserve"> расход з</w:t>
      </w:r>
      <w:r>
        <w:rPr>
          <w:bCs/>
          <w:color w:val="000000" w:themeColor="text1"/>
          <w:sz w:val="28"/>
          <w:szCs w:val="28"/>
          <w:highlight w:val="white"/>
        </w:rPr>
        <w:t xml:space="preserve">а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аналогичный период прошлого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года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составлял</w:t>
      </w:r>
      <w:r>
        <w:rPr>
          <w:color w:val="000000" w:themeColor="text1"/>
          <w:sz w:val="28"/>
          <w:szCs w:val="28"/>
          <w:highlight w:val="white"/>
        </w:rPr>
        <w:t xml:space="preserve">  11 857 106,8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</w:t>
      </w:r>
      <w:r>
        <w:rPr>
          <w:color w:val="000000" w:themeColor="text1"/>
          <w:sz w:val="28"/>
          <w:szCs w:val="28"/>
          <w:highlight w:val="white"/>
        </w:rPr>
        <w:t xml:space="preserve">. руб</w:t>
      </w:r>
      <w:r>
        <w:rPr>
          <w:color w:val="000000" w:themeColor="text1"/>
          <w:sz w:val="28"/>
          <w:szCs w:val="28"/>
          <w:highlight w:val="white"/>
        </w:rPr>
        <w:t xml:space="preserve">., </w:t>
      </w:r>
      <w:r>
        <w:rPr>
          <w:color w:val="000000" w:themeColor="text1"/>
          <w:sz w:val="28"/>
          <w:szCs w:val="28"/>
          <w:highlight w:val="white"/>
        </w:rPr>
        <w:t xml:space="preserve">или</w:t>
      </w:r>
      <w:r>
        <w:rPr>
          <w:color w:val="000000" w:themeColor="text1"/>
          <w:sz w:val="28"/>
          <w:szCs w:val="28"/>
          <w:highlight w:val="white"/>
        </w:rPr>
        <w:t xml:space="preserve"> 98,0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%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кассового</w:t>
      </w:r>
      <w:r>
        <w:rPr>
          <w:color w:val="000000" w:themeColor="text1"/>
          <w:sz w:val="28"/>
          <w:szCs w:val="28"/>
          <w:highlight w:val="white"/>
        </w:rPr>
        <w:t xml:space="preserve"> плана </w:t>
      </w:r>
      <w:r>
        <w:rPr>
          <w:color w:val="000000" w:themeColor="text1"/>
          <w:sz w:val="28"/>
          <w:szCs w:val="28"/>
          <w:highlight w:val="white"/>
        </w:rPr>
        <w:t xml:space="preserve">января-марта </w:t>
      </w:r>
      <w:r>
        <w:rPr>
          <w:color w:val="000000" w:themeColor="text1"/>
          <w:sz w:val="28"/>
          <w:szCs w:val="28"/>
          <w:highlight w:val="white"/>
        </w:rPr>
        <w:t xml:space="preserve">2025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года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1127"/>
        <w:ind w:firstLine="709"/>
        <w:spacing w:line="240" w:lineRule="auto"/>
        <w:rPr>
          <w:color w:val="000000" w:themeColor="text1"/>
          <w:szCs w:val="28"/>
        </w:rPr>
      </w:pPr>
      <w:r>
        <w:rPr>
          <w:color w:val="000000" w:themeColor="text1"/>
          <w:sz w:val="20"/>
          <w:szCs w:val="28"/>
        </w:rPr>
        <w:t xml:space="preserve"> </w:t>
      </w:r>
      <w:r>
        <w:rPr>
          <w:color w:val="000000" w:themeColor="text1"/>
          <w:szCs w:val="28"/>
        </w:rPr>
      </w:r>
      <w:r>
        <w:rPr>
          <w:color w:val="000000" w:themeColor="text1"/>
          <w:szCs w:val="28"/>
        </w:rPr>
      </w:r>
    </w:p>
    <w:p>
      <w:pPr>
        <w:pStyle w:val="1127"/>
        <w:ind w:firstLine="709"/>
        <w:spacing w:line="240" w:lineRule="auto"/>
        <w:rPr>
          <w:b/>
          <w:color w:val="000000" w:themeColor="text1"/>
          <w:sz w:val="12"/>
          <w:szCs w:val="28"/>
        </w:rPr>
      </w:pPr>
      <w:r>
        <w:rPr>
          <w:color w:val="000000" w:themeColor="text1"/>
          <w:sz w:val="28"/>
          <w:szCs w:val="28"/>
        </w:rPr>
        <w:t xml:space="preserve">Кассовые выплаты за </w:t>
      </w:r>
      <w:r>
        <w:rPr>
          <w:color w:val="000000" w:themeColor="text1"/>
          <w:sz w:val="28"/>
          <w:szCs w:val="28"/>
        </w:rPr>
        <w:t xml:space="preserve">январь-март 2026 года</w:t>
      </w:r>
      <w:r>
        <w:rPr>
          <w:color w:val="000000" w:themeColor="text1"/>
          <w:sz w:val="28"/>
          <w:szCs w:val="28"/>
        </w:rPr>
        <w:t xml:space="preserve"> превысили поступления по доходам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на сумму 618 285,1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руб.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  <w:sz w:val="12"/>
          <w:szCs w:val="28"/>
        </w:rPr>
      </w:r>
      <w:r>
        <w:rPr>
          <w:b/>
          <w:color w:val="000000" w:themeColor="text1"/>
          <w:sz w:val="12"/>
          <w:szCs w:val="28"/>
        </w:rPr>
      </w:r>
    </w:p>
    <w:p>
      <w:pPr>
        <w:pStyle w:val="1127"/>
        <w:ind w:firstLine="709"/>
        <w:spacing w:line="240" w:lineRule="atLeast"/>
        <w:tabs>
          <w:tab w:val="left" w:pos="7938" w:leader="none"/>
        </w:tabs>
        <w:rPr>
          <w:color w:val="000000" w:themeColor="text1"/>
          <w:szCs w:val="20"/>
        </w:rPr>
      </w:pPr>
      <w:r>
        <w:rPr>
          <w:color w:val="000000" w:themeColor="text1"/>
          <w:szCs w:val="20"/>
        </w:rPr>
      </w:r>
      <w:r>
        <w:rPr>
          <w:color w:val="000000" w:themeColor="text1"/>
          <w:szCs w:val="20"/>
        </w:rPr>
      </w:r>
      <w:r>
        <w:rPr>
          <w:color w:val="000000" w:themeColor="text1"/>
          <w:szCs w:val="20"/>
        </w:rPr>
      </w:r>
    </w:p>
    <w:p>
      <w:pPr>
        <w:pStyle w:val="1127"/>
        <w:ind w:firstLine="709"/>
        <w:spacing w:line="240" w:lineRule="atLeast"/>
        <w:tabs>
          <w:tab w:val="left" w:pos="0" w:leader="none"/>
          <w:tab w:val="left" w:pos="900" w:leader="none"/>
        </w:tabs>
        <w:rPr>
          <w:color w:val="ff0000"/>
          <w:sz w:val="16"/>
          <w:szCs w:val="20"/>
        </w:rPr>
      </w:pPr>
      <w:r>
        <w:rPr>
          <w:color w:val="ff0000"/>
          <w:sz w:val="16"/>
          <w:szCs w:val="20"/>
        </w:rPr>
      </w:r>
      <w:r>
        <w:rPr>
          <w:color w:val="ff0000"/>
          <w:sz w:val="16"/>
          <w:szCs w:val="20"/>
        </w:rPr>
      </w:r>
      <w:r>
        <w:rPr>
          <w:color w:val="ff0000"/>
          <w:sz w:val="16"/>
          <w:szCs w:val="20"/>
        </w:rPr>
      </w:r>
    </w:p>
    <w:p>
      <w:pPr>
        <w:pStyle w:val="1127"/>
        <w:numPr>
          <w:ilvl w:val="0"/>
          <w:numId w:val="38"/>
        </w:numPr>
        <w:contextualSpacing/>
        <w:ind w:right="-1"/>
        <w:jc w:val="center"/>
        <w:spacing w:line="240" w:lineRule="auto"/>
        <w:widowControl/>
        <w:rPr>
          <w:rFonts w:eastAsia="Calibri"/>
          <w:b/>
          <w:caps/>
          <w:color w:val="000000" w:themeColor="text1"/>
          <w:sz w:val="28"/>
          <w:szCs w:val="22"/>
        </w:rPr>
      </w:pPr>
      <w:r>
        <w:rPr>
          <w:rFonts w:eastAsia="Calibri"/>
          <w:b/>
          <w:caps/>
          <w:color w:val="000000" w:themeColor="text1"/>
          <w:sz w:val="28"/>
          <w:szCs w:val="22"/>
          <w:lang w:eastAsia="en-US"/>
        </w:rPr>
        <w:t xml:space="preserve">ИСПОЛНЕНИЕ БЮДЖЕТА ПО ДОХОДАМ </w:t>
      </w:r>
      <w:r>
        <w:rPr>
          <w:rFonts w:eastAsia="Calibri"/>
          <w:b/>
          <w:caps/>
          <w:color w:val="000000" w:themeColor="text1"/>
          <w:sz w:val="28"/>
          <w:szCs w:val="22"/>
        </w:rPr>
      </w:r>
      <w:r>
        <w:rPr>
          <w:rFonts w:eastAsia="Calibri"/>
          <w:b/>
          <w:caps/>
          <w:color w:val="000000" w:themeColor="text1"/>
          <w:sz w:val="28"/>
          <w:szCs w:val="22"/>
        </w:rPr>
      </w:r>
    </w:p>
    <w:p>
      <w:pPr>
        <w:pStyle w:val="1127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                                              (приложение 1 к настоящей записке)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Нал</w:t>
      </w:r>
      <w:r>
        <w:rPr>
          <w:b/>
          <w:color w:val="000000" w:themeColor="text1"/>
          <w:sz w:val="28"/>
          <w:szCs w:val="28"/>
          <w:highlight w:val="white"/>
        </w:rPr>
        <w:t xml:space="preserve">оговые доходы</w:t>
      </w:r>
      <w:r>
        <w:rPr>
          <w:color w:val="000000" w:themeColor="text1"/>
          <w:sz w:val="28"/>
          <w:szCs w:val="28"/>
          <w:highlight w:val="white"/>
        </w:rPr>
        <w:t xml:space="preserve"> поступили в бюджет города в </w:t>
      </w:r>
      <w:r>
        <w:rPr>
          <w:color w:val="000000" w:themeColor="text1"/>
          <w:sz w:val="28"/>
          <w:szCs w:val="28"/>
          <w:highlight w:val="white"/>
        </w:rPr>
        <w:t xml:space="preserve">су</w:t>
      </w:r>
      <w:r>
        <w:rPr>
          <w:color w:val="000000" w:themeColor="text1"/>
          <w:sz w:val="28"/>
          <w:szCs w:val="28"/>
          <w:highlight w:val="white"/>
        </w:rPr>
        <w:t xml:space="preserve">мме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4 797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870,7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</w:t>
      </w:r>
      <w:r>
        <w:rPr>
          <w:color w:val="000000" w:themeColor="text1"/>
          <w:sz w:val="28"/>
          <w:szCs w:val="28"/>
          <w:highlight w:val="white"/>
        </w:rPr>
        <w:t xml:space="preserve">. руб., </w:t>
      </w:r>
      <w:r>
        <w:rPr>
          <w:color w:val="000000" w:themeColor="text1"/>
          <w:sz w:val="28"/>
          <w:szCs w:val="28"/>
          <w:highlight w:val="white"/>
        </w:rPr>
        <w:t xml:space="preserve">или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101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,2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 к плану </w:t>
      </w:r>
      <w:r>
        <w:rPr>
          <w:color w:val="000000" w:themeColor="text1"/>
          <w:sz w:val="28"/>
          <w:szCs w:val="28"/>
          <w:highlight w:val="white"/>
        </w:rPr>
        <w:t xml:space="preserve">января</w:t>
      </w:r>
      <w:r>
        <w:rPr>
          <w:color w:val="000000" w:themeColor="text1"/>
          <w:sz w:val="28"/>
          <w:szCs w:val="28"/>
          <w:highlight w:val="white"/>
        </w:rPr>
        <w:t xml:space="preserve">-марта 2026 года (4</w:t>
      </w:r>
      <w:r>
        <w:rPr>
          <w:color w:val="000000" w:themeColor="text1"/>
          <w:sz w:val="28"/>
          <w:szCs w:val="28"/>
          <w:highlight w:val="white"/>
        </w:rPr>
        <w:t xml:space="preserve"> 740 249,0</w:t>
      </w:r>
      <w:r>
        <w:rPr>
          <w:color w:val="000000" w:themeColor="text1"/>
          <w:sz w:val="28"/>
          <w:szCs w:val="28"/>
          <w:highlight w:val="white"/>
        </w:rPr>
        <w:t xml:space="preserve"> тыс. руб.) 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16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,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6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% </w:t>
      </w:r>
      <w:r>
        <w:rPr>
          <w:color w:val="000000" w:themeColor="text1"/>
          <w:sz w:val="28"/>
          <w:szCs w:val="28"/>
          <w:highlight w:val="white"/>
        </w:rPr>
        <w:t xml:space="preserve">к плану </w:t>
      </w:r>
      <w:r>
        <w:rPr>
          <w:color w:val="000000" w:themeColor="text1"/>
          <w:sz w:val="28"/>
          <w:szCs w:val="28"/>
          <w:highlight w:val="white"/>
        </w:rPr>
        <w:t xml:space="preserve">года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28 873 554,0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</w:t>
      </w:r>
      <w:r>
        <w:rPr>
          <w:color w:val="000000" w:themeColor="text1"/>
          <w:sz w:val="28"/>
          <w:szCs w:val="28"/>
          <w:highlight w:val="white"/>
        </w:rPr>
        <w:t xml:space="preserve">.). </w:t>
      </w:r>
      <w:r>
        <w:rPr>
          <w:color w:val="000000" w:themeColor="text1"/>
          <w:sz w:val="28"/>
          <w:szCs w:val="28"/>
          <w:highlight w:val="white"/>
        </w:rPr>
        <w:t xml:space="preserve">З</w:t>
      </w:r>
      <w:r>
        <w:rPr>
          <w:color w:val="000000" w:themeColor="text1"/>
          <w:sz w:val="28"/>
          <w:szCs w:val="28"/>
          <w:highlight w:val="white"/>
        </w:rPr>
        <w:t xml:space="preserve">а аналогичный период прошлого года поступления налоговых доходов составляли 4</w:t>
      </w:r>
      <w:r>
        <w:rPr>
          <w:color w:val="000000" w:themeColor="text1"/>
          <w:sz w:val="28"/>
          <w:szCs w:val="28"/>
          <w:highlight w:val="white"/>
        </w:rPr>
        <w:t xml:space="preserve"> 424 199,2</w:t>
      </w:r>
      <w:r>
        <w:rPr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tabs>
          <w:tab w:val="left" w:pos="0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tabs>
          <w:tab w:val="left" w:pos="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  <w:t xml:space="preserve">Неналоговые доходы</w:t>
      </w:r>
      <w:r>
        <w:rPr>
          <w:color w:val="000000" w:themeColor="text1"/>
          <w:sz w:val="28"/>
          <w:szCs w:val="28"/>
          <w:highlight w:val="white"/>
        </w:rPr>
        <w:t xml:space="preserve"> поступили в бюджет города в </w:t>
      </w:r>
      <w:r>
        <w:rPr>
          <w:color w:val="000000" w:themeColor="text1"/>
          <w:sz w:val="28"/>
          <w:szCs w:val="28"/>
          <w:highlight w:val="white"/>
        </w:rPr>
        <w:t xml:space="preserve">су</w:t>
      </w:r>
      <w:r>
        <w:rPr>
          <w:color w:val="000000" w:themeColor="text1"/>
          <w:sz w:val="28"/>
          <w:szCs w:val="28"/>
          <w:highlight w:val="white"/>
        </w:rPr>
        <w:t xml:space="preserve">мме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2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0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49 244,5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или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109,3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 к плану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января</w:t>
      </w:r>
      <w:r>
        <w:rPr>
          <w:color w:val="000000" w:themeColor="text1"/>
          <w:sz w:val="28"/>
          <w:szCs w:val="28"/>
          <w:highlight w:val="white"/>
        </w:rPr>
        <w:t xml:space="preserve">-марта</w:t>
      </w:r>
      <w:r>
        <w:rPr>
          <w:color w:val="000000" w:themeColor="text1"/>
          <w:sz w:val="28"/>
          <w:szCs w:val="28"/>
          <w:highlight w:val="white"/>
        </w:rPr>
        <w:t xml:space="preserve"> 2026 года (</w:t>
      </w:r>
      <w:r>
        <w:rPr>
          <w:color w:val="000000" w:themeColor="text1"/>
          <w:sz w:val="28"/>
          <w:szCs w:val="28"/>
          <w:highlight w:val="white"/>
        </w:rPr>
        <w:t xml:space="preserve">1 874 869,0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руб.)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2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5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,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5%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к плану </w:t>
      </w:r>
      <w:r>
        <w:rPr>
          <w:color w:val="000000" w:themeColor="text1"/>
          <w:sz w:val="28"/>
          <w:szCs w:val="28"/>
          <w:highlight w:val="white"/>
        </w:rPr>
        <w:t xml:space="preserve">года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r>
        <w:rPr>
          <w:color w:val="000000" w:themeColor="text1"/>
          <w:sz w:val="28"/>
          <w:szCs w:val="28"/>
          <w:highlight w:val="white"/>
        </w:rPr>
        <w:t xml:space="preserve">8 032 481,5</w:t>
      </w:r>
      <w:r>
        <w:rPr>
          <w:color w:val="000000" w:themeColor="text1"/>
          <w:sz w:val="28"/>
          <w:szCs w:val="28"/>
          <w:highlight w:val="white"/>
        </w:rPr>
        <w:t xml:space="preserve"> тыс. руб.). </w:t>
      </w:r>
      <w:r>
        <w:rPr>
          <w:color w:val="000000" w:themeColor="text1"/>
          <w:sz w:val="28"/>
          <w:szCs w:val="28"/>
          <w:highlight w:val="white"/>
        </w:rPr>
        <w:t xml:space="preserve">За аналогичный период прошлого год</w:t>
      </w:r>
      <w:r>
        <w:rPr>
          <w:color w:val="000000" w:themeColor="text1"/>
          <w:sz w:val="28"/>
          <w:szCs w:val="28"/>
          <w:highlight w:val="white"/>
        </w:rPr>
        <w:t xml:space="preserve">а поступления неналоговых доходов составляли</w:t>
      </w:r>
      <w:r>
        <w:rPr>
          <w:color w:val="000000" w:themeColor="text1"/>
          <w:sz w:val="28"/>
          <w:szCs w:val="28"/>
          <w:highlight w:val="white"/>
        </w:rPr>
        <w:t xml:space="preserve"> 1 906 540,0</w:t>
      </w:r>
      <w:r>
        <w:rPr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Вместе с тем, план </w:t>
      </w:r>
      <w:r>
        <w:rPr>
          <w:color w:val="000000" w:themeColor="text1"/>
          <w:sz w:val="28"/>
          <w:szCs w:val="28"/>
          <w:highlight w:val="white"/>
        </w:rPr>
        <w:t xml:space="preserve">по доходам от платы за проезд </w:t>
      </w:r>
      <w:r>
        <w:rPr>
          <w:color w:val="000000" w:themeColor="text1"/>
          <w:sz w:val="28"/>
          <w:szCs w:val="28"/>
          <w:highlight w:val="white"/>
        </w:rPr>
        <w:t xml:space="preserve">не исполнен на 80 530,4 тыс. руб. в связи со 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снижением 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объема пассажиропотока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spacing w:line="240" w:lineRule="auto"/>
        <w:tabs>
          <w:tab w:val="left" w:pos="0" w:leader="none"/>
          <w:tab w:val="left" w:pos="709" w:leader="none"/>
        </w:tabs>
        <w:rPr>
          <w:strike w:val="0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strike w:val="0"/>
          <w:color w:val="000000" w:themeColor="text1"/>
          <w:sz w:val="28"/>
          <w:szCs w:val="28"/>
          <w:highlight w:val="white"/>
        </w:rPr>
      </w:r>
      <w:r>
        <w:rPr>
          <w:strike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Безвозмездные поступления</w:t>
      </w:r>
      <w:r>
        <w:rPr>
          <w:color w:val="000000" w:themeColor="text1"/>
          <w:sz w:val="28"/>
          <w:szCs w:val="28"/>
          <w:highlight w:val="white"/>
        </w:rPr>
        <w:t xml:space="preserve"> от бюджетов других уровней поступили в сумме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5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875 759,7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</w:t>
      </w:r>
      <w:r>
        <w:rPr>
          <w:color w:val="000000" w:themeColor="text1"/>
          <w:sz w:val="28"/>
          <w:szCs w:val="28"/>
          <w:highlight w:val="white"/>
        </w:rPr>
        <w:t xml:space="preserve">ыс. руб., </w:t>
      </w:r>
      <w:r>
        <w:rPr>
          <w:color w:val="000000" w:themeColor="text1"/>
          <w:sz w:val="28"/>
          <w:szCs w:val="28"/>
          <w:highlight w:val="white"/>
        </w:rPr>
        <w:t xml:space="preserve">или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99,1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 к плану января-марта</w:t>
      </w:r>
      <w:r>
        <w:rPr>
          <w:color w:val="000000" w:themeColor="text1"/>
          <w:sz w:val="28"/>
          <w:szCs w:val="28"/>
          <w:highlight w:val="white"/>
        </w:rPr>
        <w:t xml:space="preserve"> 2026</w:t>
      </w:r>
      <w:r>
        <w:rPr>
          <w:color w:val="000000" w:themeColor="text1"/>
          <w:sz w:val="28"/>
          <w:szCs w:val="28"/>
          <w:highlight w:val="white"/>
        </w:rPr>
        <w:t xml:space="preserve"> года </w:t>
        <w:br/>
        <w:t xml:space="preserve">(5</w:t>
      </w:r>
      <w:r>
        <w:rPr>
          <w:color w:val="000000" w:themeColor="text1"/>
          <w:sz w:val="28"/>
          <w:szCs w:val="28"/>
          <w:highlight w:val="white"/>
        </w:rPr>
        <w:t xml:space="preserve"> 928 269,4 </w:t>
      </w:r>
      <w:r>
        <w:rPr>
          <w:color w:val="000000" w:themeColor="text1"/>
          <w:sz w:val="28"/>
          <w:szCs w:val="28"/>
          <w:highlight w:val="white"/>
        </w:rPr>
        <w:t xml:space="preserve">тыс.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руб.) </w:t>
      </w:r>
      <w:r>
        <w:rPr>
          <w:color w:val="000000" w:themeColor="text1"/>
          <w:sz w:val="28"/>
          <w:szCs w:val="28"/>
          <w:highlight w:val="white"/>
        </w:rPr>
        <w:t xml:space="preserve">и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19,9% </w:t>
      </w:r>
      <w:r>
        <w:rPr>
          <w:color w:val="000000" w:themeColor="text1"/>
          <w:sz w:val="28"/>
          <w:szCs w:val="28"/>
          <w:highlight w:val="white"/>
        </w:rPr>
        <w:t xml:space="preserve">к плану года (</w:t>
      </w:r>
      <w:r>
        <w:rPr>
          <w:color w:val="000000" w:themeColor="text1"/>
          <w:sz w:val="28"/>
          <w:szCs w:val="28"/>
          <w:highlight w:val="white"/>
        </w:rPr>
        <w:t xml:space="preserve">29 457 747,2</w:t>
      </w:r>
      <w:r>
        <w:rPr>
          <w:color w:val="000000" w:themeColor="text1"/>
          <w:sz w:val="28"/>
          <w:szCs w:val="28"/>
          <w:highlight w:val="white"/>
        </w:rPr>
        <w:t xml:space="preserve"> тыс. р</w:t>
      </w:r>
      <w:r>
        <w:rPr>
          <w:color w:val="000000" w:themeColor="text1"/>
          <w:sz w:val="28"/>
          <w:szCs w:val="28"/>
          <w:highlight w:val="white"/>
        </w:rPr>
        <w:t xml:space="preserve">уб.). </w:t>
      </w:r>
      <w:r>
        <w:rPr>
          <w:color w:val="000000" w:themeColor="text1"/>
          <w:sz w:val="28"/>
          <w:szCs w:val="28"/>
          <w:highlight w:val="white"/>
        </w:rPr>
        <w:t xml:space="preserve">За аналогичный период прошлого года поступления составляли 6</w:t>
      </w:r>
      <w:r>
        <w:rPr>
          <w:color w:val="000000" w:themeColor="text1"/>
          <w:sz w:val="28"/>
          <w:szCs w:val="28"/>
          <w:highlight w:val="white"/>
        </w:rPr>
        <w:t xml:space="preserve"> 047 478,6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spacing w:line="240" w:lineRule="auto"/>
        <w:tabs>
          <w:tab w:val="left" w:pos="0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center"/>
        <w:spacing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center"/>
        <w:spacing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Анализ исполнения плана по доходам за январь</w:t>
      </w:r>
      <w:r>
        <w:rPr>
          <w:color w:val="000000" w:themeColor="text1"/>
          <w:sz w:val="28"/>
          <w:szCs w:val="28"/>
          <w:highlight w:val="white"/>
        </w:rPr>
        <w:t xml:space="preserve">-март 2026 года по осно</w:t>
      </w:r>
      <w:r>
        <w:rPr>
          <w:color w:val="000000" w:themeColor="text1"/>
          <w:sz w:val="28"/>
          <w:szCs w:val="28"/>
          <w:highlight w:val="white"/>
        </w:rPr>
        <w:t xml:space="preserve">вным </w:t>
      </w:r>
      <w:r>
        <w:rPr>
          <w:color w:val="000000" w:themeColor="text1"/>
          <w:sz w:val="28"/>
          <w:szCs w:val="28"/>
          <w:highlight w:val="white"/>
        </w:rPr>
        <w:t xml:space="preserve">бюджетообразующим</w:t>
      </w:r>
      <w:r>
        <w:rPr>
          <w:color w:val="000000" w:themeColor="text1"/>
          <w:sz w:val="28"/>
          <w:szCs w:val="28"/>
          <w:highlight w:val="white"/>
        </w:rPr>
        <w:t xml:space="preserve"> поступлениям выглядит следующим образом: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0"/>
        <w:spacing w:line="240" w:lineRule="auto"/>
        <w:tabs>
          <w:tab w:val="left" w:pos="709" w:leader="none"/>
        </w:tabs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highlight w:val="white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iCs/>
          <w:color w:val="000000" w:themeColor="text1"/>
          <w:sz w:val="28"/>
          <w:szCs w:val="28"/>
          <w:highlight w:val="white"/>
        </w:rPr>
        <w:t xml:space="preserve">По состоянию на 01.04.2026 </w:t>
      </w:r>
      <w:r>
        <w:rPr>
          <w:iCs/>
          <w:color w:val="000000" w:themeColor="text1"/>
          <w:sz w:val="28"/>
          <w:szCs w:val="28"/>
          <w:highlight w:val="white"/>
        </w:rPr>
        <w:t xml:space="preserve">фактическое поступление 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налога на доходы физических лиц </w:t>
      </w:r>
      <w:r>
        <w:rPr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составило</w:t>
      </w:r>
      <w:r>
        <w:rPr>
          <w:iCs/>
          <w:color w:val="000000" w:themeColor="text1"/>
          <w:sz w:val="28"/>
          <w:szCs w:val="28"/>
          <w:highlight w:val="white"/>
        </w:rPr>
        <w:t xml:space="preserve"> 3 842 281,4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или 102,7%</w:t>
      </w:r>
      <w:r>
        <w:rPr>
          <w:iCs/>
          <w:color w:val="000000" w:themeColor="text1"/>
          <w:sz w:val="28"/>
          <w:szCs w:val="28"/>
          <w:highlight w:val="white"/>
        </w:rPr>
        <w:t xml:space="preserve"> к</w:t>
      </w:r>
      <w:r>
        <w:rPr>
          <w:iCs/>
          <w:color w:val="000000" w:themeColor="text1"/>
          <w:sz w:val="28"/>
          <w:szCs w:val="28"/>
          <w:highlight w:val="white"/>
        </w:rPr>
        <w:t xml:space="preserve"> плану отчетного периода (3 741 670,4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руб.) и 17,6</w:t>
      </w:r>
      <w:r>
        <w:rPr>
          <w:color w:val="000000" w:themeColor="text1"/>
          <w:sz w:val="28"/>
          <w:szCs w:val="28"/>
          <w:highlight w:val="white"/>
        </w:rPr>
        <w:t xml:space="preserve">%</w:t>
      </w:r>
      <w:r>
        <w:rPr>
          <w:iCs/>
          <w:color w:val="000000" w:themeColor="text1"/>
          <w:sz w:val="28"/>
          <w:szCs w:val="28"/>
          <w:highlight w:val="white"/>
        </w:rPr>
        <w:t xml:space="preserve"> к</w:t>
      </w:r>
      <w:r>
        <w:rPr>
          <w:color w:val="000000" w:themeColor="text1"/>
          <w:sz w:val="28"/>
          <w:szCs w:val="28"/>
          <w:highlight w:val="white"/>
        </w:rPr>
        <w:t xml:space="preserve"> уточненному плану года (</w:t>
      </w:r>
      <w:r>
        <w:rPr>
          <w:color w:val="000000" w:themeColor="text1"/>
          <w:sz w:val="28"/>
          <w:szCs w:val="28"/>
          <w:highlight w:val="white"/>
        </w:rPr>
        <w:t xml:space="preserve">21 827 600,0 тыс. руб.).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составили 116,9</w:t>
      </w:r>
      <w:r>
        <w:rPr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выполнение плана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обусловлено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снижением суммы возвратов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в связи с предоставлением налоговых вычетов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 три месяца 2026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34,1 %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относительно прошлого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(сум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ма возвратов составила 549 026,1 тыс. руб).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i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  <w:t xml:space="preserve">По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 туристическому налогу </w:t>
      </w:r>
      <w:r>
        <w:rPr>
          <w:iCs/>
          <w:color w:val="000000" w:themeColor="text1"/>
          <w:sz w:val="28"/>
          <w:szCs w:val="28"/>
          <w:highlight w:val="white"/>
        </w:rPr>
        <w:t xml:space="preserve">фактичес</w:t>
      </w:r>
      <w:r>
        <w:rPr>
          <w:iCs/>
          <w:color w:val="000000" w:themeColor="text1"/>
          <w:sz w:val="28"/>
          <w:szCs w:val="28"/>
          <w:highlight w:val="white"/>
        </w:rPr>
        <w:t xml:space="preserve">кое поступление составило 10 879,0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руб., или 137,7%</w:t>
      </w:r>
      <w:r>
        <w:rPr>
          <w:color w:val="000000" w:themeColor="text1"/>
          <w:sz w:val="28"/>
          <w:szCs w:val="28"/>
          <w:highlight w:val="white"/>
        </w:rPr>
        <w:t xml:space="preserve"> к плану отчетного периода (7 900,0 тыс.руб.)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и 28,3% к плану года (38 381,0 тыс. руб.)</w:t>
      </w:r>
      <w:r>
        <w:rPr>
          <w:iCs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  <w:t xml:space="preserve">Пере</w:t>
      </w:r>
      <w:r>
        <w:rPr>
          <w:iCs/>
          <w:color w:val="000000" w:themeColor="text1"/>
          <w:sz w:val="28"/>
          <w:szCs w:val="28"/>
          <w:highlight w:val="white"/>
        </w:rPr>
        <w:t xml:space="preserve">выполнение плана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обусловлено</w:t>
      </w:r>
      <w:r>
        <w:rPr>
          <w:color w:val="000000" w:themeColor="text1"/>
          <w:sz w:val="28"/>
          <w:szCs w:val="28"/>
          <w:highlight w:val="white"/>
        </w:rPr>
        <w:t xml:space="preserve"> перечислениями по пред</w:t>
      </w:r>
      <w:r>
        <w:rPr>
          <w:color w:val="000000" w:themeColor="text1"/>
          <w:sz w:val="28"/>
          <w:szCs w:val="28"/>
          <w:highlight w:val="white"/>
        </w:rPr>
        <w:t xml:space="preserve">ставленным  декларациям за 2025 год.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iCs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  <w:t xml:space="preserve">По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 налогу, взимаемому в связи с применением упрощенной системы налогообложения, </w:t>
      </w:r>
      <w:r>
        <w:rPr>
          <w:iCs/>
          <w:color w:val="000000" w:themeColor="text1"/>
          <w:sz w:val="28"/>
          <w:szCs w:val="28"/>
          <w:highlight w:val="white"/>
        </w:rPr>
        <w:t xml:space="preserve">фактичес</w:t>
      </w:r>
      <w:r>
        <w:rPr>
          <w:iCs/>
          <w:color w:val="000000" w:themeColor="text1"/>
          <w:sz w:val="28"/>
          <w:szCs w:val="28"/>
          <w:highlight w:val="white"/>
        </w:rPr>
        <w:t xml:space="preserve">кое поступление составило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151 254,8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руб., </w:t>
      </w:r>
      <w:r>
        <w:rPr>
          <w:color w:val="000000" w:themeColor="text1"/>
          <w:sz w:val="28"/>
          <w:szCs w:val="28"/>
          <w:highlight w:val="white"/>
        </w:rPr>
        <w:t xml:space="preserve">или 86,1% к плану отчетного периода</w:t>
      </w:r>
      <w:r>
        <w:rPr>
          <w:iCs/>
          <w:color w:val="000000" w:themeColor="text1"/>
          <w:sz w:val="28"/>
          <w:szCs w:val="28"/>
          <w:highlight w:val="white"/>
        </w:rPr>
        <w:t xml:space="preserve"> (175 600,0 тыс. руб.) и 11,5% к плану года </w:t>
        <w:br/>
        <w:t xml:space="preserve">(1 319 195,1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руб.). </w:t>
      </w: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</w:t>
      </w:r>
      <w:r>
        <w:rPr>
          <w:iCs/>
          <w:color w:val="000000" w:themeColor="text1"/>
          <w:sz w:val="28"/>
          <w:szCs w:val="28"/>
          <w:highlight w:val="white"/>
        </w:rPr>
        <w:t xml:space="preserve">го периода прошлого года поступления составили 91,7%</w:t>
      </w:r>
      <w:r>
        <w:rPr>
          <w:iCs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spacing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iCs/>
          <w:strike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Невыполнение</w:t>
      </w:r>
      <w:r>
        <w:rPr>
          <w:iCs/>
          <w:color w:val="000000" w:themeColor="text1"/>
          <w:sz w:val="28"/>
          <w:szCs w:val="28"/>
        </w:rPr>
        <w:t xml:space="preserve"> плана </w:t>
      </w:r>
      <w:r>
        <w:rPr>
          <w:iCs/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iCs/>
          <w:color w:val="000000" w:themeColor="text1"/>
          <w:sz w:val="28"/>
          <w:szCs w:val="28"/>
        </w:rPr>
        <w:t xml:space="preserve"> обусловлено переходом </w:t>
      </w:r>
      <w:r>
        <w:rPr>
          <w:iCs/>
          <w:color w:val="000000" w:themeColor="text1"/>
          <w:sz w:val="28"/>
          <w:szCs w:val="28"/>
          <w:highlight w:val="white"/>
        </w:rPr>
        <w:t xml:space="preserve">части</w:t>
      </w:r>
      <w:r>
        <w:rPr>
          <w:iCs/>
          <w:color w:val="000000" w:themeColor="text1"/>
          <w:sz w:val="28"/>
          <w:szCs w:val="28"/>
        </w:rPr>
        <w:t xml:space="preserve"> налогоплательщиков на автоматизированную упрощенную систему налогообложения</w:t>
      </w:r>
      <w:r>
        <w:rPr>
          <w:iCs/>
          <w:color w:val="000000" w:themeColor="text1"/>
          <w:sz w:val="28"/>
          <w:szCs w:val="28"/>
          <w:highlight w:val="white"/>
        </w:rPr>
        <w:t xml:space="preserve">, введенную на территории Пермского края с 01.01.2026.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 данным главного администратора – Управления Федеральной налоговой службы по Пермскому краю</w:t>
      </w:r>
      <w:r>
        <w:rPr>
          <w:color w:val="000000" w:themeColor="text1"/>
          <w:sz w:val="28"/>
          <w:szCs w:val="28"/>
          <w:highlight w:val="white"/>
        </w:rPr>
        <w:t xml:space="preserve"> по состоянию на 01.01.2026 количество индивидуальных предпринимателей и юридических лиц, применяющих АУСН, составило 3 371.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1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iCs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851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  <w:t xml:space="preserve">По 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налогу, взимаемому в связи с применением патентной системы налогообложения,</w:t>
      </w:r>
      <w:r>
        <w:rPr>
          <w:iCs/>
          <w:color w:val="000000" w:themeColor="text1"/>
          <w:sz w:val="28"/>
          <w:szCs w:val="28"/>
          <w:highlight w:val="white"/>
        </w:rPr>
        <w:t xml:space="preserve"> фактическое поступление составило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6 389,1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руб., или 81,7% к плану отчетного периода (7 815,6 тыс. руб.) и 1,4% к пл</w:t>
      </w:r>
      <w:r>
        <w:rPr>
          <w:iCs/>
          <w:color w:val="000000" w:themeColor="text1"/>
          <w:sz w:val="28"/>
          <w:szCs w:val="28"/>
          <w:highlight w:val="white"/>
        </w:rPr>
        <w:t xml:space="preserve">ану года </w:t>
        <w:br/>
        <w:t xml:space="preserve">(446 509,8 тыс. руб.). </w:t>
      </w: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составили 3,7 %.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iCs/>
          <w:color w:val="000000" w:themeColor="text1"/>
          <w:sz w:val="28"/>
          <w:szCs w:val="28"/>
          <w:highlight w:val="none"/>
        </w:rPr>
        <w:t xml:space="preserve">П</w:t>
      </w:r>
      <w:r>
        <w:rPr>
          <w:b w:val="0"/>
          <w:bCs w:val="0"/>
          <w:iCs/>
          <w:color w:val="000000" w:themeColor="text1"/>
          <w:sz w:val="28"/>
          <w:szCs w:val="28"/>
          <w:highlight w:val="none"/>
        </w:rPr>
        <w:t xml:space="preserve">о </w:t>
      </w:r>
      <w:r>
        <w:rPr>
          <w:b/>
          <w:iCs/>
          <w:color w:val="000000" w:themeColor="text1"/>
          <w:sz w:val="28"/>
          <w:szCs w:val="28"/>
          <w:highlight w:val="none"/>
        </w:rPr>
        <w:t xml:space="preserve">налогу </w:t>
      </w:r>
      <w:r>
        <w:rPr>
          <w:b/>
          <w:iCs/>
          <w:color w:val="000000" w:themeColor="text1"/>
          <w:sz w:val="28"/>
          <w:szCs w:val="28"/>
          <w:highlight w:val="none"/>
        </w:rPr>
        <w:t xml:space="preserve">н</w:t>
      </w:r>
      <w:r>
        <w:rPr>
          <w:b/>
          <w:iCs/>
          <w:color w:val="000000" w:themeColor="text1"/>
          <w:sz w:val="28"/>
          <w:szCs w:val="28"/>
          <w:highlight w:val="none"/>
        </w:rPr>
        <w:t xml:space="preserve">а имущес</w:t>
      </w:r>
      <w:r>
        <w:rPr>
          <w:b/>
          <w:iCs/>
          <w:color w:val="000000" w:themeColor="text1"/>
          <w:sz w:val="28"/>
          <w:szCs w:val="28"/>
          <w:highlight w:val="none"/>
        </w:rPr>
        <w:t xml:space="preserve">тво ф</w:t>
      </w:r>
      <w:r>
        <w:rPr>
          <w:b/>
          <w:iCs/>
          <w:color w:val="000000" w:themeColor="text1"/>
          <w:sz w:val="28"/>
          <w:szCs w:val="28"/>
          <w:highlight w:val="none"/>
        </w:rPr>
        <w:t xml:space="preserve">изических лиц </w:t>
      </w:r>
      <w:r>
        <w:rPr>
          <w:iCs/>
          <w:color w:val="000000" w:themeColor="text1"/>
          <w:sz w:val="28"/>
          <w:szCs w:val="28"/>
          <w:highlight w:val="none"/>
        </w:rPr>
        <w:t xml:space="preserve">поступление составило 56 508,3</w:t>
      </w:r>
      <w:r>
        <w:rPr>
          <w:iCs/>
          <w:color w:val="000000" w:themeColor="text1"/>
          <w:sz w:val="28"/>
          <w:szCs w:val="28"/>
          <w:highlight w:val="none"/>
        </w:rPr>
        <w:t xml:space="preserve"> </w:t>
      </w:r>
      <w:r>
        <w:rPr>
          <w:iCs/>
          <w:color w:val="000000" w:themeColor="text1"/>
          <w:sz w:val="28"/>
          <w:szCs w:val="28"/>
          <w:highlight w:val="none"/>
        </w:rPr>
        <w:t xml:space="preserve">тыс.</w:t>
      </w:r>
      <w:r>
        <w:rPr>
          <w:iCs/>
          <w:color w:val="000000" w:themeColor="text1"/>
          <w:sz w:val="28"/>
          <w:szCs w:val="28"/>
          <w:highlight w:val="none"/>
        </w:rPr>
        <w:t xml:space="preserve"> руб.</w:t>
      </w:r>
      <w:r>
        <w:rPr>
          <w:iCs/>
          <w:color w:val="000000" w:themeColor="text1"/>
          <w:sz w:val="28"/>
          <w:szCs w:val="28"/>
          <w:highlight w:val="none"/>
        </w:rPr>
        <w:t xml:space="preserve">,</w:t>
      </w:r>
      <w:r>
        <w:rPr>
          <w:iCs/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или </w:t>
      </w:r>
      <w:r>
        <w:rPr>
          <w:color w:val="000000" w:themeColor="text1"/>
          <w:sz w:val="28"/>
          <w:szCs w:val="28"/>
          <w:highlight w:val="none"/>
        </w:rPr>
        <w:t xml:space="preserve">91,1</w:t>
      </w:r>
      <w:r>
        <w:rPr>
          <w:iCs/>
          <w:color w:val="000000" w:themeColor="text1"/>
          <w:sz w:val="28"/>
          <w:szCs w:val="28"/>
          <w:highlight w:val="none"/>
        </w:rPr>
        <w:t xml:space="preserve">%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t xml:space="preserve">к пла</w:t>
      </w:r>
      <w:r>
        <w:rPr>
          <w:color w:val="000000" w:themeColor="text1"/>
          <w:sz w:val="28"/>
          <w:szCs w:val="28"/>
          <w:highlight w:val="none"/>
        </w:rPr>
        <w:t xml:space="preserve">ну </w:t>
      </w:r>
      <w:r>
        <w:rPr>
          <w:color w:val="000000" w:themeColor="text1"/>
          <w:sz w:val="28"/>
          <w:szCs w:val="28"/>
          <w:highlight w:val="none"/>
        </w:rPr>
        <w:t xml:space="preserve">отчетного пе</w:t>
      </w:r>
      <w:r>
        <w:rPr>
          <w:color w:val="000000" w:themeColor="text1"/>
          <w:sz w:val="28"/>
          <w:szCs w:val="28"/>
          <w:highlight w:val="none"/>
        </w:rPr>
        <w:t xml:space="preserve">рио</w:t>
      </w:r>
      <w:r>
        <w:rPr>
          <w:color w:val="000000" w:themeColor="text1"/>
          <w:sz w:val="28"/>
          <w:szCs w:val="28"/>
          <w:highlight w:val="none"/>
        </w:rPr>
        <w:t xml:space="preserve">да</w:t>
      </w:r>
      <w:r>
        <w:rPr>
          <w:iCs/>
          <w:color w:val="000000" w:themeColor="text1"/>
          <w:sz w:val="28"/>
          <w:szCs w:val="28"/>
          <w:highlight w:val="none"/>
        </w:rPr>
        <w:t xml:space="preserve"> </w:t>
      </w:r>
      <w:r>
        <w:rPr>
          <w:iCs/>
          <w:color w:val="000000" w:themeColor="text1"/>
          <w:sz w:val="28"/>
          <w:szCs w:val="28"/>
          <w:highlight w:val="none"/>
        </w:rPr>
        <w:t xml:space="preserve">(62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none"/>
          <w:u w:val="none"/>
          <w:vertAlign w:val="baseline"/>
        </w:rPr>
        <w:t xml:space="preserve"> 000,0</w:t>
      </w:r>
      <w:r>
        <w:rPr>
          <w:iCs/>
          <w:color w:val="000000" w:themeColor="text1"/>
          <w:sz w:val="28"/>
          <w:szCs w:val="28"/>
          <w:highlight w:val="none"/>
        </w:rPr>
        <w:t xml:space="preserve"> тыс. руб.)</w:t>
      </w:r>
      <w:r>
        <w:rPr>
          <w:iCs/>
          <w:color w:val="000000" w:themeColor="text1"/>
          <w:sz w:val="28"/>
          <w:szCs w:val="28"/>
          <w:highlight w:val="none"/>
        </w:rPr>
        <w:t xml:space="preserve"> </w:t>
      </w:r>
      <w:r>
        <w:rPr>
          <w:iCs/>
          <w:color w:val="000000" w:themeColor="text1"/>
          <w:sz w:val="28"/>
          <w:szCs w:val="28"/>
          <w:highlight w:val="none"/>
        </w:rPr>
        <w:t xml:space="preserve">и 3,0% к плану год</w:t>
      </w:r>
      <w:r>
        <w:rPr>
          <w:iCs/>
          <w:color w:val="000000" w:themeColor="text1"/>
          <w:sz w:val="28"/>
          <w:szCs w:val="28"/>
          <w:highlight w:val="none"/>
        </w:rPr>
        <w:t xml:space="preserve">а (1 866 643,8 тыс. руб.</w:t>
      </w:r>
      <w:r>
        <w:rPr>
          <w:iCs/>
          <w:color w:val="000000" w:themeColor="text1"/>
          <w:sz w:val="28"/>
          <w:szCs w:val="28"/>
          <w:highlight w:val="none"/>
        </w:rPr>
        <w:t xml:space="preserve">)</w:t>
      </w:r>
      <w:r>
        <w:rPr>
          <w:iCs/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highlight w:val="none"/>
        </w:rPr>
        <w:t xml:space="preserve">П</w:t>
      </w:r>
      <w:r>
        <w:rPr>
          <w:iCs/>
          <w:color w:val="000000" w:themeColor="text1"/>
          <w:sz w:val="28"/>
          <w:szCs w:val="28"/>
          <w:highlight w:val="none"/>
        </w:rPr>
        <w:t xml:space="preserve">ри отсутствии срока уплаты поступили платежи в счет погаше</w:t>
      </w:r>
      <w:r>
        <w:rPr>
          <w:iCs/>
          <w:color w:val="000000" w:themeColor="text1"/>
          <w:sz w:val="28"/>
          <w:szCs w:val="28"/>
          <w:highlight w:val="none"/>
        </w:rPr>
        <w:t xml:space="preserve">ния задолженности.</w:t>
      </w:r>
      <w:r>
        <w:rPr>
          <w:iCs/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составили 99,2</w:t>
      </w:r>
      <w:r>
        <w:rPr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none"/>
        </w:rPr>
        <w:suppressLineNumbers w:val="0"/>
      </w:pP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yellow"/>
        </w:rPr>
      </w:pPr>
      <w:r>
        <w:rPr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По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 земельному налогу</w:t>
      </w:r>
      <w:r>
        <w:rPr>
          <w:color w:val="000000" w:themeColor="text1"/>
          <w:sz w:val="28"/>
          <w:szCs w:val="28"/>
          <w:highlight w:val="white"/>
        </w:rPr>
        <w:t xml:space="preserve"> фактическое поступление составило </w:t>
      </w:r>
      <w:r>
        <w:rPr>
          <w:color w:val="000000" w:themeColor="text1"/>
          <w:sz w:val="28"/>
          <w:szCs w:val="28"/>
          <w:highlight w:val="white"/>
        </w:rPr>
        <w:t xml:space="preserve">556 295,7</w:t>
      </w:r>
      <w:r>
        <w:rPr>
          <w:color w:val="000000" w:themeColor="text1"/>
          <w:sz w:val="28"/>
          <w:szCs w:val="28"/>
          <w:highlight w:val="white"/>
        </w:rPr>
        <w:t xml:space="preserve"> тыс. руб., или </w:t>
      </w:r>
      <w:r>
        <w:rPr>
          <w:color w:val="000000" w:themeColor="text1"/>
          <w:sz w:val="28"/>
          <w:szCs w:val="28"/>
          <w:highlight w:val="white"/>
        </w:rPr>
        <w:t xml:space="preserve">96,3</w:t>
      </w:r>
      <w:r>
        <w:rPr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 плана отчетного периода (</w:t>
      </w:r>
      <w:r>
        <w:rPr>
          <w:color w:val="000000" w:themeColor="text1"/>
          <w:sz w:val="28"/>
          <w:szCs w:val="28"/>
          <w:highlight w:val="white"/>
        </w:rPr>
        <w:t xml:space="preserve">577</w:t>
      </w:r>
      <w:r>
        <w:rPr>
          <w:color w:val="000000" w:themeColor="text1"/>
          <w:sz w:val="28"/>
          <w:szCs w:val="28"/>
          <w:highlight w:val="white"/>
        </w:rPr>
        <w:t xml:space="preserve"> 500,0 </w:t>
      </w:r>
      <w:r>
        <w:rPr>
          <w:iCs/>
          <w:color w:val="000000" w:themeColor="text1"/>
          <w:sz w:val="28"/>
          <w:szCs w:val="28"/>
          <w:highlight w:val="white"/>
        </w:rPr>
        <w:t xml:space="preserve">тыс. руб.) и 21,2% к плану года (2 628 818,0 тыс. руб.)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</w:t>
      </w:r>
      <w:r>
        <w:rPr>
          <w:iCs/>
          <w:color w:val="000000" w:themeColor="text1"/>
          <w:sz w:val="28"/>
          <w:szCs w:val="28"/>
          <w:highlight w:val="white"/>
        </w:rPr>
        <w:t xml:space="preserve">го периода прошлого года поступления составили 99,2%.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  <w14:ligatures w14:val="non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Неисполнение плана отчетного периода связано с уточнением налогоплательщиками – организациями сумм начисленного налога за 2025 год. Срок уплаты для физических лиц в первом квартале не установлен, поступают платежи в счет уплаты задолженности.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Доходы, полу</w:t>
      </w:r>
      <w:r>
        <w:rPr>
          <w:b/>
          <w:color w:val="000000" w:themeColor="text1"/>
          <w:sz w:val="28"/>
          <w:szCs w:val="28"/>
          <w:highlight w:val="white"/>
        </w:rPr>
        <w:t xml:space="preserve">чаемые в виде арендной платы за земельные участки, государственная собственность на которые не разграничена, и которые расположены в границах городских округов, а также средства от продажи права на заключение договоров аренды указанных земельных участков,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администрируемые департаментом земельных отношений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173 228,9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в 1,4 раза больше плана 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(124 962,7 тыс. руб.) </w:t>
      </w:r>
      <w:r>
        <w:rPr>
          <w:color w:val="000000" w:themeColor="text1"/>
          <w:sz w:val="28"/>
          <w:szCs w:val="28"/>
          <w:highlight w:val="white"/>
        </w:rPr>
        <w:t xml:space="preserve">и составляет 41,9% к плану года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(413</w:t>
      </w:r>
      <w:r>
        <w:rPr>
          <w:color w:val="000000" w:themeColor="text1"/>
          <w:sz w:val="28"/>
          <w:szCs w:val="28"/>
          <w:highlight w:val="white"/>
        </w:rPr>
        <w:t xml:space="preserve"> 255,3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</w:t>
      </w:r>
      <w:r>
        <w:rPr>
          <w:color w:val="000000" w:themeColor="text1"/>
          <w:sz w:val="28"/>
          <w:szCs w:val="28"/>
          <w:highlight w:val="white"/>
        </w:rPr>
        <w:t xml:space="preserve">б.)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уменьшились на 7,9% (на 12 634,7 тыс. руб.) </w:t>
      </w:r>
      <w:r>
        <w:rPr>
          <w:color w:val="000000" w:themeColor="text1"/>
          <w:sz w:val="28"/>
          <w:szCs w:val="28"/>
          <w:highlight w:val="white"/>
        </w:rPr>
        <w:t xml:space="preserve">за счет средств от продажи права на заключение договоров аренды земельных участков на </w:t>
      </w:r>
      <w:r>
        <w:rPr>
          <w:color w:val="000000" w:themeColor="text1"/>
          <w:sz w:val="28"/>
          <w:szCs w:val="28"/>
          <w:highlight w:val="white"/>
        </w:rPr>
        <w:t xml:space="preserve">торгах. </w:t>
      </w:r>
      <w:r>
        <w:rPr>
          <w:color w:val="000000" w:themeColor="text1"/>
          <w:sz w:val="28"/>
          <w:szCs w:val="28"/>
          <w:highlight w:val="white"/>
        </w:rPr>
        <w:t xml:space="preserve">В том числе: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доходы от арендной платы за земельные участки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color w:val="000000" w:themeColor="text1"/>
          <w:sz w:val="28"/>
          <w:szCs w:val="28"/>
          <w:highlight w:val="white"/>
        </w:rPr>
        <w:br/>
      </w:r>
      <w:r>
        <w:rPr>
          <w:color w:val="000000" w:themeColor="text1"/>
          <w:sz w:val="28"/>
          <w:szCs w:val="28"/>
          <w:highlight w:val="white"/>
        </w:rPr>
        <w:t xml:space="preserve">8</w:t>
      </w:r>
      <w:r>
        <w:rPr>
          <w:color w:val="000000" w:themeColor="text1"/>
          <w:sz w:val="28"/>
          <w:szCs w:val="28"/>
          <w:highlight w:val="white"/>
        </w:rPr>
        <w:t xml:space="preserve">6</w:t>
      </w:r>
      <w:r>
        <w:rPr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291,8</w:t>
      </w:r>
      <w:r>
        <w:rPr>
          <w:color w:val="000000" w:themeColor="text1"/>
          <w:sz w:val="28"/>
          <w:szCs w:val="28"/>
          <w:highlight w:val="white"/>
        </w:rPr>
        <w:t xml:space="preserve"> тыс. руб., что составляет</w:t>
      </w:r>
      <w:r>
        <w:rPr>
          <w:color w:val="000000" w:themeColor="text1"/>
          <w:sz w:val="28"/>
          <w:szCs w:val="28"/>
          <w:highlight w:val="white"/>
        </w:rPr>
        <w:t xml:space="preserve"> 86,5% плана отчетного периода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99 750,0</w:t>
      </w:r>
      <w:r>
        <w:rPr>
          <w:color w:val="000000" w:themeColor="text1"/>
          <w:sz w:val="28"/>
          <w:szCs w:val="28"/>
          <w:highlight w:val="white"/>
        </w:rPr>
        <w:t xml:space="preserve"> тыс. руб.</w:t>
      </w:r>
      <w:r>
        <w:rPr>
          <w:color w:val="000000" w:themeColor="text1"/>
          <w:sz w:val="28"/>
          <w:szCs w:val="28"/>
          <w:highlight w:val="white"/>
        </w:rPr>
        <w:t xml:space="preserve">) </w:t>
      </w:r>
      <w:r>
        <w:rPr>
          <w:iCs/>
          <w:color w:val="000000" w:themeColor="text1"/>
          <w:sz w:val="28"/>
          <w:szCs w:val="28"/>
          <w:highlight w:val="white"/>
        </w:rPr>
        <w:t xml:space="preserve">и 28,1</w:t>
      </w:r>
      <w:r>
        <w:rPr>
          <w:color w:val="000000" w:themeColor="text1"/>
          <w:sz w:val="28"/>
          <w:szCs w:val="28"/>
          <w:highlight w:val="white"/>
        </w:rPr>
        <w:t xml:space="preserve">%</w:t>
      </w:r>
      <w:r>
        <w:rPr>
          <w:iCs/>
          <w:color w:val="000000" w:themeColor="text1"/>
          <w:sz w:val="28"/>
          <w:szCs w:val="28"/>
          <w:highlight w:val="white"/>
        </w:rPr>
        <w:t xml:space="preserve"> к</w:t>
      </w:r>
      <w:r>
        <w:rPr>
          <w:color w:val="000000" w:themeColor="text1"/>
          <w:sz w:val="28"/>
          <w:szCs w:val="28"/>
          <w:highlight w:val="white"/>
        </w:rPr>
        <w:t xml:space="preserve"> плану года (</w:t>
      </w:r>
      <w:r>
        <w:rPr>
          <w:color w:val="000000" w:themeColor="text1"/>
          <w:sz w:val="28"/>
          <w:szCs w:val="28"/>
          <w:highlight w:val="white"/>
        </w:rPr>
        <w:t xml:space="preserve">306 696,2 тыс. руб.)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т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л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9</w:t>
      </w:r>
      <w:r>
        <w:rPr>
          <w:color w:val="000000" w:themeColor="text1"/>
          <w:sz w:val="28"/>
          <w:szCs w:val="28"/>
          <w:highlight w:val="white"/>
        </w:rPr>
        <w:t xml:space="preserve">0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3</w:t>
      </w:r>
      <w:r>
        <w:rPr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Неисполнение планового задания связано с ухудшением платежной дисциплины арендаторов земельных участков по срокам уплаты 5 февраля и 15 марта 2026 года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i/>
          <w:color w:val="000000" w:themeColor="text1"/>
          <w:sz w:val="28"/>
          <w:szCs w:val="28"/>
          <w:highlight w:val="white"/>
        </w:rPr>
        <w:t xml:space="preserve">-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средства от реализации права на заключение договоров аренды земельных участков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86 937,1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руб.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что в 3,4 раза больше плана отчетного периода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25 212,7</w:t>
      </w:r>
      <w:r>
        <w:rPr>
          <w:color w:val="000000" w:themeColor="text1"/>
          <w:sz w:val="28"/>
          <w:szCs w:val="28"/>
          <w:highlight w:val="white"/>
        </w:rPr>
        <w:t xml:space="preserve"> тыс. руб.) </w:t>
      </w:r>
      <w:r>
        <w:rPr>
          <w:color w:val="000000" w:themeColor="text1"/>
          <w:sz w:val="28"/>
          <w:szCs w:val="28"/>
          <w:highlight w:val="white"/>
        </w:rPr>
        <w:t xml:space="preserve">и составляет 81,6% к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лану года (106 559,1 тыс. руб.)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По итогам состоявшихся торгов реализовано право на заключение договоров аренды 37 земельных участков, в том числе 35 предназначенных для индивидуального жилищного строительства, р</w:t>
      </w:r>
      <w:r>
        <w:rPr>
          <w:color w:val="000000" w:themeColor="text1"/>
          <w:sz w:val="28"/>
          <w:szCs w:val="28"/>
          <w:highlight w:val="white"/>
        </w:rPr>
        <w:t xml:space="preserve">азмер ежегодной арендной платы по ним превысил начальную цену в 3,6 раза. </w:t>
      </w:r>
      <w:r>
        <w:rPr>
          <w:color w:val="000000" w:themeColor="text1"/>
          <w:sz w:val="28"/>
          <w:szCs w:val="28"/>
          <w:highlight w:val="white"/>
        </w:rPr>
        <w:t xml:space="preserve">В феврале на аукционе реализовано право на заключение договора аренды земельного участка для строительства склада, в бюджет поступила арендная плата за 3 года в сумме 7 851,1 тыс. руб. На </w:t>
      </w:r>
      <w:r>
        <w:rPr>
          <w:color w:val="000000" w:themeColor="text1"/>
          <w:sz w:val="28"/>
          <w:szCs w:val="28"/>
          <w:highlight w:val="white"/>
        </w:rPr>
        <w:t xml:space="preserve">перевыполнение плана также  повлияло</w:t>
      </w:r>
      <w:r>
        <w:rPr>
          <w:color w:val="000000" w:themeColor="text1"/>
          <w:sz w:val="28"/>
          <w:szCs w:val="28"/>
          <w:highlight w:val="white"/>
        </w:rPr>
        <w:t xml:space="preserve"> поступление денежных средств по итогам аукци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нов, состоявшихся в декабре 2025 года, в сумме 8 418,3 тыс. руб.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Доходы, получаемые в виде арендной платы </w:t>
      </w:r>
      <w:r>
        <w:rPr>
          <w:b/>
          <w:color w:val="000000" w:themeColor="text1"/>
          <w:sz w:val="28"/>
          <w:szCs w:val="28"/>
          <w:highlight w:val="white"/>
        </w:rPr>
        <w:t xml:space="preserve">за земли, находящиеся </w:t>
      </w:r>
      <w:r>
        <w:rPr>
          <w:b/>
          <w:color w:val="000000" w:themeColor="text1"/>
          <w:sz w:val="28"/>
          <w:szCs w:val="28"/>
          <w:highlight w:val="white"/>
        </w:rPr>
        <w:t xml:space="preserve">в собственности городских округов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b/>
          <w:color w:val="000000" w:themeColor="text1"/>
          <w:sz w:val="28"/>
          <w:szCs w:val="28"/>
          <w:highlight w:val="white"/>
        </w:rPr>
        <w:t xml:space="preserve"> а</w:t>
      </w:r>
      <w:r>
        <w:rPr>
          <w:b/>
          <w:color w:val="000000" w:themeColor="text1"/>
          <w:sz w:val="28"/>
          <w:szCs w:val="28"/>
          <w:highlight w:val="white"/>
        </w:rPr>
        <w:t xml:space="preserve"> также средства от продажи права на заключение договоров аренды указанных земельных участков, </w:t>
      </w:r>
      <w:r>
        <w:rPr>
          <w:rFonts w:eastAsia="Calibri"/>
          <w:i w:val="0"/>
          <w:iCs w:val="0"/>
          <w:color w:val="000000" w:themeColor="text1"/>
          <w:sz w:val="28"/>
          <w:szCs w:val="28"/>
          <w:highlight w:val="white"/>
        </w:rPr>
        <w:t xml:space="preserve">администрируемые департаментом земельных отношений</w:t>
      </w:r>
      <w:r>
        <w:rPr>
          <w:rFonts w:eastAsia="Calibri"/>
          <w:i w:val="0"/>
          <w:i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color w:val="000000" w:themeColor="text1"/>
          <w:sz w:val="28"/>
          <w:szCs w:val="28"/>
          <w:highlight w:val="white"/>
        </w:rPr>
        <w:t xml:space="preserve">29 518,1</w:t>
      </w:r>
      <w:r>
        <w:rPr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color w:val="000000" w:themeColor="text1"/>
          <w:sz w:val="28"/>
          <w:szCs w:val="28"/>
          <w:highlight w:val="white"/>
        </w:rPr>
        <w:t xml:space="preserve">, что в 1,3 раза больше плана 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(23 580</w:t>
      </w:r>
      <w:r>
        <w:rPr>
          <w:color w:val="000000" w:themeColor="text1"/>
          <w:sz w:val="28"/>
          <w:szCs w:val="28"/>
          <w:highlight w:val="white"/>
        </w:rPr>
        <w:t xml:space="preserve">,0 тыс. руб.) </w:t>
      </w:r>
      <w:r>
        <w:rPr>
          <w:color w:val="000000" w:themeColor="text1"/>
          <w:sz w:val="28"/>
          <w:szCs w:val="28"/>
          <w:highlight w:val="white"/>
        </w:rPr>
        <w:t xml:space="preserve">и составляет 20,4% к плану года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(144</w:t>
      </w:r>
      <w:r>
        <w:rPr>
          <w:color w:val="000000" w:themeColor="text1"/>
          <w:sz w:val="28"/>
          <w:szCs w:val="28"/>
          <w:highlight w:val="white"/>
        </w:rPr>
        <w:t xml:space="preserve"> 494,9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</w:t>
      </w:r>
      <w:r>
        <w:rPr>
          <w:color w:val="000000" w:themeColor="text1"/>
          <w:sz w:val="28"/>
          <w:szCs w:val="28"/>
          <w:highlight w:val="white"/>
        </w:rPr>
        <w:t xml:space="preserve">б.)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 </w:t>
      </w:r>
      <w:r>
        <w:rPr>
          <w:color w:val="000000" w:themeColor="text1"/>
          <w:sz w:val="28"/>
          <w:szCs w:val="28"/>
          <w:highlight w:val="white"/>
        </w:rPr>
        <w:t xml:space="preserve">том чи</w:t>
      </w:r>
      <w:r>
        <w:rPr>
          <w:color w:val="000000" w:themeColor="text1"/>
          <w:sz w:val="28"/>
          <w:szCs w:val="28"/>
          <w:highlight w:val="white"/>
        </w:rPr>
        <w:t xml:space="preserve">сле: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доходы от арендной платы за земельные участки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25 176,8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в 1,3 раза</w:t>
      </w:r>
      <w:r>
        <w:rPr>
          <w:color w:val="000000" w:themeColor="text1"/>
          <w:sz w:val="28"/>
          <w:szCs w:val="28"/>
          <w:highlight w:val="white"/>
        </w:rPr>
        <w:t xml:space="preserve"> больше плана отчетн</w:t>
      </w:r>
      <w:r>
        <w:rPr>
          <w:color w:val="000000" w:themeColor="text1"/>
          <w:sz w:val="28"/>
          <w:szCs w:val="28"/>
          <w:highlight w:val="white"/>
        </w:rPr>
        <w:t xml:space="preserve">ого периода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18 970,0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руб.) и</w:t>
      </w:r>
      <w:r>
        <w:rPr>
          <w:color w:val="000000" w:themeColor="text1"/>
          <w:sz w:val="28"/>
          <w:szCs w:val="28"/>
          <w:highlight w:val="white"/>
        </w:rPr>
        <w:t xml:space="preserve"> составляет 43,3%</w:t>
      </w:r>
      <w:r>
        <w:rPr>
          <w:color w:val="000000" w:themeColor="text1"/>
          <w:sz w:val="28"/>
          <w:szCs w:val="28"/>
          <w:highlight w:val="white"/>
        </w:rPr>
        <w:t xml:space="preserve"> к плану года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58 127,6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руб.)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т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л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105,6</w:t>
      </w:r>
      <w:r>
        <w:rPr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Перевыполнение планового задания обусловлено поступлением оплаты по договорам аренды, заключенным после формирования проекта бюджетного задания на 2026 год.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-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средства от продажи права на заключение договоров аренды </w:t>
      </w: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земельных участков, находящихся в муниципальной собственности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4 341,3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составляет 94,2% </w:t>
      </w:r>
      <w:r>
        <w:rPr>
          <w:color w:val="000000" w:themeColor="text1"/>
          <w:sz w:val="28"/>
          <w:szCs w:val="28"/>
          <w:highlight w:val="white"/>
        </w:rPr>
        <w:t xml:space="preserve">плана на отчетного периода (4 610,0 тыс. руб.) 5,0% к плану года (86 367,3 тыс. руб.).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На неисполнение плана повлияло </w:t>
      </w:r>
      <w:r>
        <w:rPr>
          <w:color w:val="000000" w:themeColor="text1"/>
          <w:sz w:val="28"/>
          <w:szCs w:val="28"/>
          <w:highlight w:val="white"/>
        </w:rPr>
        <w:t xml:space="preserve">уточнение кода бюджетной классификации платежа </w:t>
      </w:r>
      <w:r>
        <w:rPr>
          <w:color w:val="000000" w:themeColor="text1"/>
          <w:sz w:val="28"/>
          <w:szCs w:val="28"/>
          <w:highlight w:val="white"/>
        </w:rPr>
        <w:t xml:space="preserve">в январе 2026 года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 связи с неверным его указанием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 платежных документах на сумму 569,6 тыс. руб.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eastAsia="Calibri"/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eastAsia="Calibri"/>
          <w:b/>
          <w:color w:val="000000" w:themeColor="text1"/>
          <w:sz w:val="28"/>
          <w:szCs w:val="28"/>
          <w:highlight w:val="white"/>
        </w:rPr>
        <w:t xml:space="preserve">Доходы от сдачи в аренду муниципального имущества, </w:t>
      </w:r>
      <w:r>
        <w:rPr>
          <w:rFonts w:eastAsia="Calibri"/>
          <w:i w:val="0"/>
          <w:iCs w:val="0"/>
          <w:color w:val="000000" w:themeColor="text1"/>
          <w:sz w:val="28"/>
          <w:szCs w:val="28"/>
          <w:highlight w:val="white"/>
        </w:rPr>
        <w:t xml:space="preserve">администрируемые департаментом имущественных отношений</w:t>
      </w:r>
      <w:r>
        <w:rPr>
          <w:rFonts w:eastAsia="Calibri"/>
          <w:i w:val="0"/>
          <w:i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поступили в сумме 17</w:t>
      </w:r>
      <w:r>
        <w:rPr>
          <w:rFonts w:eastAsia="Calibri"/>
          <w:color w:val="000000" w:themeColor="text1"/>
          <w:sz w:val="28"/>
          <w:szCs w:val="28"/>
          <w:highlight w:val="white"/>
          <w:lang w:val="en-US"/>
        </w:rPr>
        <w:t xml:space="preserve"> 470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,7 тыс. руб., что составляет 96,5% к плану отчетного периода (18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1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00,0 тыс. руб.) и 20,5% к плану года (85 184,0 тыс. руб.).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</w:t>
      </w:r>
      <w:r>
        <w:rPr>
          <w:color w:val="000000" w:themeColor="text1"/>
          <w:sz w:val="28"/>
          <w:szCs w:val="28"/>
          <w:highlight w:val="white"/>
        </w:rPr>
        <w:t xml:space="preserve">составили 89,8%.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П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и муниципальных унитарных предприятий, в том числе ка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зенных)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поступили в сумме 53 569,5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тыс. руб., что составляет 125,0 % от плана отчетного периода (42 871,7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тыс. руб.) и 25,1 % к плану года (213 786,6 тыс. руб.).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составили 133,2</w:t>
      </w:r>
      <w:r>
        <w:rPr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том числе: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b w:val="0"/>
          <w:bCs w:val="0"/>
          <w:i w:val="0"/>
          <w:color w:val="000000" w:themeColor="text1"/>
          <w:sz w:val="28"/>
          <w:szCs w:val="28"/>
          <w:highlight w:val="white"/>
          <w:u w:val="none"/>
          <w14:ligatures w14:val="none"/>
        </w:rPr>
      </w:pP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доходы от платы за наем муниципального жилищного фонда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администрируемые управлением жилищных отношений администрации города Перми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у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з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м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1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9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6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8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3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8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ы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у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б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1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1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1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,7% к плану отчетного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периода (17 620,6 тыс.руб.)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и 24,6% к плану года (80 120,6 тыс.руб.). </w:t>
      </w:r>
      <w:r>
        <w:rPr>
          <w:b w:val="0"/>
          <w:bCs w:val="0"/>
          <w:i w:val="0"/>
          <w:color w:val="000000" w:themeColor="text1"/>
          <w:sz w:val="28"/>
          <w:szCs w:val="28"/>
          <w:highlight w:val="white"/>
          <w:u w:val="none"/>
          <w14:ligatures w14:val="none"/>
        </w:rPr>
      </w:r>
      <w:r>
        <w:rPr>
          <w:b w:val="0"/>
          <w:bCs w:val="0"/>
          <w:i w:val="0"/>
          <w:color w:val="000000" w:themeColor="text1"/>
          <w:sz w:val="28"/>
          <w:szCs w:val="28"/>
          <w:highlight w:val="white"/>
          <w:u w:val="none"/>
          <w14:ligatures w14:val="none"/>
        </w:rPr>
      </w:r>
    </w:p>
    <w:p>
      <w:pPr>
        <w:ind w:firstLine="709"/>
        <w:jc w:val="both"/>
        <w:rPr>
          <w:b/>
          <w:bCs w:val="0"/>
          <w:i w:val="0"/>
          <w:color w:val="000000" w:themeColor="text1"/>
          <w:sz w:val="28"/>
          <w:szCs w:val="28"/>
          <w:highlight w:val="yellow"/>
          <w:u w:val="none"/>
        </w:rPr>
      </w:pP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Относительно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аналогичного периода прошлого года поступления увеличились на 24,2% в связи с увеличением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базового размера платы за наем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жилого помещения c 01 января 2026 года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.</w:t>
      </w:r>
      <w:r>
        <w:rPr>
          <w:b/>
          <w:bCs w:val="0"/>
          <w:i w:val="0"/>
          <w:color w:val="000000" w:themeColor="text1"/>
          <w:sz w:val="28"/>
          <w:szCs w:val="28"/>
          <w:highlight w:val="yellow"/>
          <w:u w:val="none"/>
        </w:rPr>
      </w:r>
      <w:r>
        <w:rPr>
          <w:b/>
          <w:bCs w:val="0"/>
          <w:i w:val="0"/>
          <w:color w:val="000000" w:themeColor="text1"/>
          <w:sz w:val="28"/>
          <w:szCs w:val="28"/>
          <w:highlight w:val="yellow"/>
          <w:u w:val="none"/>
        </w:rPr>
      </w:r>
    </w:p>
    <w:p>
      <w:pPr>
        <w:ind w:firstLine="709"/>
        <w:tabs>
          <w:tab w:val="left" w:pos="0" w:leader="none"/>
          <w:tab w:val="left" w:pos="900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b/>
          <w:i w:val="0"/>
          <w:iCs w:val="0"/>
          <w:color w:val="000000" w:themeColor="text1"/>
          <w:sz w:val="28"/>
          <w:szCs w:val="28"/>
          <w:highlight w:val="white"/>
        </w:rPr>
        <w:t xml:space="preserve">- доходы по дого</w:t>
      </w:r>
      <w:r>
        <w:rPr>
          <w:b/>
          <w:i w:val="0"/>
          <w:iCs w:val="0"/>
          <w:color w:val="000000" w:themeColor="text1"/>
          <w:sz w:val="28"/>
          <w:szCs w:val="28"/>
          <w:highlight w:val="white"/>
        </w:rPr>
        <w:t xml:space="preserve">ворам на размещение рекламных конструкций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администрируемые департаментом экономики и промышленной политики</w:t>
      </w:r>
      <w:r>
        <w:rPr>
          <w:color w:val="000000" w:themeColor="text1"/>
          <w:sz w:val="28"/>
          <w:szCs w:val="28"/>
          <w:highlight w:val="white"/>
        </w:rPr>
        <w:t xml:space="preserve">, поступили в сумме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29 045,4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в 1,3 раза превышает </w:t>
      </w:r>
      <w:r>
        <w:rPr>
          <w:color w:val="000000" w:themeColor="text1"/>
          <w:sz w:val="28"/>
          <w:szCs w:val="28"/>
          <w:highlight w:val="white"/>
        </w:rPr>
        <w:t xml:space="preserve">план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отчетного периода </w:t>
      </w:r>
      <w:r>
        <w:rPr>
          <w:color w:val="000000" w:themeColor="text1"/>
          <w:sz w:val="28"/>
          <w:szCs w:val="28"/>
          <w:highlight w:val="white"/>
        </w:rPr>
        <w:t xml:space="preserve">(22 815,5</w:t>
      </w:r>
      <w:r>
        <w:rPr>
          <w:color w:val="000000" w:themeColor="text1"/>
          <w:sz w:val="28"/>
          <w:szCs w:val="28"/>
          <w:highlight w:val="white"/>
        </w:rPr>
        <w:t xml:space="preserve"> тыс. руб.) </w:t>
      </w:r>
      <w:r>
        <w:rPr>
          <w:color w:val="000000" w:themeColor="text1"/>
          <w:sz w:val="28"/>
          <w:szCs w:val="28"/>
          <w:highlight w:val="white"/>
        </w:rPr>
        <w:t xml:space="preserve">и составляет 24,4% к плану года (119 058,5 тыс. руб.).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tabs>
          <w:tab w:val="left" w:pos="0" w:leader="none"/>
          <w:tab w:val="left" w:pos="900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Перевыполнение плана связано с поступлением авансовых платежей за апрель 2026 года.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color w:val="000000" w:themeColor="text1"/>
          <w:sz w:val="28"/>
          <w:szCs w:val="28"/>
          <w:highlight w:val="white"/>
        </w:rPr>
      </w:pPr>
      <w:r>
        <w:rPr>
          <w:b/>
          <w:i w:val="0"/>
          <w:iCs w:val="0"/>
          <w:color w:val="000000" w:themeColor="text1"/>
          <w:sz w:val="28"/>
          <w:szCs w:val="28"/>
          <w:highlight w:val="white"/>
        </w:rPr>
        <w:t xml:space="preserve">- доходы по договорам на размещение нестационарных объектов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администрируемые департаментом экономики и промышленной политики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 4 033,6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в 2,2 раза превышает план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отчетного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периода</w:t>
      </w:r>
      <w:r>
        <w:rPr>
          <w:color w:val="000000" w:themeColor="text1"/>
          <w:sz w:val="28"/>
          <w:szCs w:val="28"/>
          <w:highlight w:val="white"/>
        </w:rPr>
        <w:t xml:space="preserve"> (1 805,4 </w:t>
      </w:r>
      <w:r>
        <w:rPr>
          <w:color w:val="000000" w:themeColor="text1"/>
          <w:sz w:val="28"/>
          <w:szCs w:val="28"/>
          <w:highlight w:val="white"/>
        </w:rPr>
        <w:t xml:space="preserve">тыс. руб.</w:t>
      </w:r>
      <w:r>
        <w:rPr>
          <w:color w:val="000000" w:themeColor="text1"/>
          <w:sz w:val="28"/>
          <w:szCs w:val="28"/>
          <w:highlight w:val="white"/>
        </w:rPr>
        <w:t xml:space="preserve">) и составляет 38,1% к плану года (10 589,6 тыс. руб.).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Перевыполнение плана обусловлено поступлением авансовых платежей</w:t>
      </w:r>
      <w:r>
        <w:rPr>
          <w:color w:val="000000" w:themeColor="text1"/>
          <w:sz w:val="28"/>
          <w:szCs w:val="28"/>
          <w:highlight w:val="white"/>
        </w:rPr>
        <w:t xml:space="preserve"> за апрель 2026 года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</w:t>
      </w:r>
      <w:r>
        <w:rPr>
          <w:b/>
          <w:color w:val="000000" w:themeColor="text1"/>
          <w:sz w:val="28"/>
          <w:szCs w:val="28"/>
          <w:highlight w:val="white"/>
        </w:rPr>
        <w:t xml:space="preserve">о</w:t>
      </w:r>
      <w:r>
        <w:rPr>
          <w:b/>
          <w:color w:val="000000" w:themeColor="text1"/>
          <w:sz w:val="28"/>
          <w:szCs w:val="28"/>
          <w:highlight w:val="white"/>
        </w:rPr>
        <w:t xml:space="preserve">ды от оказания платных услуг (работ) и компенсации затрат государства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1 324 879,7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руб., что составляет 96,3</w:t>
      </w:r>
      <w:r>
        <w:rPr>
          <w:color w:val="000000" w:themeColor="text1"/>
          <w:sz w:val="28"/>
          <w:szCs w:val="28"/>
          <w:highlight w:val="white"/>
        </w:rPr>
        <w:t xml:space="preserve">% к плану 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(1 375 843,0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руб.) и 23,0</w:t>
      </w:r>
      <w:r>
        <w:rPr>
          <w:color w:val="000000" w:themeColor="text1"/>
          <w:sz w:val="28"/>
          <w:szCs w:val="28"/>
          <w:highlight w:val="white"/>
        </w:rPr>
        <w:t xml:space="preserve">% к плану го</w:t>
      </w:r>
      <w:r>
        <w:rPr>
          <w:color w:val="000000" w:themeColor="text1"/>
          <w:sz w:val="28"/>
          <w:szCs w:val="28"/>
          <w:highlight w:val="white"/>
        </w:rPr>
        <w:t xml:space="preserve">да (</w:t>
      </w:r>
      <w:r>
        <w:rPr>
          <w:color w:val="000000" w:themeColor="text1"/>
          <w:sz w:val="28"/>
          <w:szCs w:val="28"/>
          <w:highlight w:val="white"/>
        </w:rPr>
        <w:t xml:space="preserve">5 749 563,7 </w:t>
      </w:r>
      <w:r>
        <w:rPr>
          <w:color w:val="000000" w:themeColor="text1"/>
          <w:sz w:val="28"/>
          <w:szCs w:val="28"/>
          <w:highlight w:val="white"/>
        </w:rPr>
        <w:t xml:space="preserve">тыс. </w:t>
      </w:r>
      <w:r>
        <w:rPr>
          <w:color w:val="000000" w:themeColor="text1"/>
          <w:sz w:val="28"/>
          <w:szCs w:val="28"/>
          <w:highlight w:val="white"/>
        </w:rPr>
        <w:t xml:space="preserve">руб.).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Относительно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аналогичного периода прошлого года поступления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 составили 101,4%.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 том числе: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1276"/>
        <w:jc w:val="both"/>
        <w:spacing w:before="0" w:after="0" w:line="240" w:lineRule="auto"/>
        <w:rPr>
          <w:i w:val="0"/>
          <w:iCs w:val="0"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-</w:t>
      </w: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 средства от реализации проездных документов отдельным категориям граждан города Перми,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администрируемые департаментом транспорта,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 w:themeColor="text1"/>
          <w:sz w:val="28"/>
          <w:u w:val="none"/>
          <w:vertAlign w:val="baseline"/>
        </w:rPr>
        <w:t xml:space="preserve">182 057,1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тыс. руб., или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100,9% к плану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 w:themeColor="text1"/>
          <w:sz w:val="28"/>
          <w:u w:val="none"/>
          <w:vertAlign w:val="baseline"/>
        </w:rPr>
        <w:t xml:space="preserve">180 419,8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тыс. руб.) и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27,5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% к плану года (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 w:themeColor="text1"/>
          <w:sz w:val="28"/>
          <w:u w:val="none"/>
          <w:vertAlign w:val="baseline"/>
        </w:rPr>
        <w:t xml:space="preserve">662 855,1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тыс. руб.);</w:t>
      </w:r>
      <w:r>
        <w:rPr>
          <w:i w:val="0"/>
          <w:iCs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i w:val="0"/>
          <w:iCs w:val="0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i w:val="0"/>
          <w:iCs w:val="0"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-</w:t>
      </w: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 средства от реализации единых проездных документов,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администрируемые департаментом транспорта,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 w:themeColor="text1"/>
          <w:sz w:val="28"/>
          <w:u w:val="none"/>
          <w:vertAlign w:val="baseline"/>
        </w:rPr>
        <w:t xml:space="preserve">131 545,2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тыс. руб., или 95,6% к плану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 w:themeColor="text1"/>
          <w:sz w:val="28"/>
          <w:u w:val="none"/>
          <w:vertAlign w:val="baseline"/>
        </w:rPr>
        <w:t xml:space="preserve">137 665,1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тыс. руб.) и 27,0% к плану года (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 w:themeColor="text1"/>
          <w:sz w:val="28"/>
          <w:u w:val="none"/>
          <w:vertAlign w:val="baseline"/>
        </w:rPr>
        <w:t xml:space="preserve">487 449,7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тыс. руб.);</w:t>
      </w:r>
      <w:r>
        <w:rPr>
          <w:i w:val="0"/>
          <w:iCs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i w:val="0"/>
          <w:iCs w:val="0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i w:val="0"/>
          <w:iCs w:val="0"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средства от перечисления платы за проезд пассажиров и провоз багажа,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администрируемые департаментом транспорта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, поступили в сумме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 w:themeColor="text1"/>
          <w:sz w:val="28"/>
          <w:u w:val="none"/>
          <w:vertAlign w:val="baseline"/>
        </w:rPr>
        <w:t xml:space="preserve">980 275,3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тыс. руб., или 92,8% к плану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 w:themeColor="text1"/>
          <w:sz w:val="28"/>
          <w:u w:val="none"/>
          <w:vertAlign w:val="baseline"/>
        </w:rPr>
        <w:t xml:space="preserve">1 056 323,2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тыс. руб.) и 21,3% к плану года (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 w:themeColor="text1"/>
          <w:sz w:val="28"/>
          <w:u w:val="none"/>
          <w:vertAlign w:val="baseline"/>
        </w:rPr>
        <w:t xml:space="preserve">4 592 971,5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тыс. руб.)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i w:val="0"/>
          <w:iCs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i w:val="0"/>
          <w:iCs w:val="0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В целом по до</w:t>
      </w:r>
      <w:r>
        <w:rPr>
          <w:color w:val="000000" w:themeColor="text1"/>
          <w:sz w:val="28"/>
          <w:szCs w:val="28"/>
          <w:highlight w:val="white"/>
        </w:rPr>
        <w:t xml:space="preserve">ходам от платы за проезд выполнение составило</w:t>
      </w:r>
      <w:r>
        <w:rPr>
          <w:color w:val="000000" w:themeColor="text1"/>
          <w:sz w:val="28"/>
          <w:szCs w:val="28"/>
          <w:highlight w:val="white"/>
        </w:rPr>
        <w:t xml:space="preserve"> 94,1%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плана отчетного периода.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Невыполнение пл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на обусловлено </w:t>
      </w:r>
      <w:r>
        <w:rPr>
          <w:color w:val="000000" w:themeColor="text1"/>
          <w:sz w:val="28"/>
          <w:highlight w:val="white"/>
        </w:rPr>
        <w:t xml:space="preserve">неис</w:t>
      </w:r>
      <w:r>
        <w:rPr>
          <w:color w:val="000000" w:themeColor="text1"/>
          <w:sz w:val="28"/>
          <w:highlight w:val="white"/>
        </w:rPr>
        <w:t xml:space="preserve">полнени</w:t>
      </w:r>
      <w:r>
        <w:rPr>
          <w:color w:val="000000" w:themeColor="text1"/>
          <w:sz w:val="28"/>
          <w:highlight w:val="white"/>
        </w:rPr>
        <w:t xml:space="preserve">ем </w:t>
      </w:r>
      <w:r>
        <w:rPr>
          <w:color w:val="000000" w:themeColor="text1"/>
          <w:sz w:val="28"/>
          <w:highlight w:val="white"/>
        </w:rPr>
        <w:t xml:space="preserve">перевозчиками планир</w:t>
      </w:r>
      <w:r>
        <w:rPr>
          <w:color w:val="000000" w:themeColor="text1"/>
          <w:sz w:val="28"/>
          <w:highlight w:val="white"/>
        </w:rPr>
        <w:t xml:space="preserve">уемого объ</w:t>
      </w:r>
      <w:r>
        <w:rPr>
          <w:color w:val="000000" w:themeColor="text1"/>
          <w:sz w:val="28"/>
          <w:highlight w:val="white"/>
        </w:rPr>
        <w:t xml:space="preserve">ема транспортной работы по количеству выпуска подвижного состава на линию, 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ч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о привело к снижению 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объема пассажиропотока (при плане 45 659,8 тыс. чел., факт – 42 535,1 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тыс. чел.) 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 от продажи земельных </w:t>
      </w:r>
      <w:r>
        <w:rPr>
          <w:b/>
          <w:color w:val="000000" w:themeColor="text1"/>
          <w:sz w:val="28"/>
          <w:szCs w:val="28"/>
          <w:highlight w:val="white"/>
        </w:rPr>
        <w:t xml:space="preserve">участков, государственная собственность на которые не разграничена</w:t>
      </w:r>
      <w:r>
        <w:rPr>
          <w:b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Calibri"/>
          <w:i w:val="0"/>
          <w:iCs w:val="0"/>
          <w:color w:val="000000" w:themeColor="text1"/>
          <w:sz w:val="28"/>
          <w:szCs w:val="28"/>
          <w:highlight w:val="white"/>
        </w:rPr>
        <w:t xml:space="preserve">администрируемые департаментом земельных отношений</w:t>
      </w:r>
      <w:r>
        <w:rPr>
          <w:rFonts w:eastAsia="Calibri"/>
          <w:i w:val="0"/>
          <w:i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 w:themeColor="text1"/>
          <w:sz w:val="28"/>
          <w:u w:val="none"/>
          <w:vertAlign w:val="baseline"/>
        </w:rPr>
        <w:t xml:space="preserve">70 429,0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тыс. руб., что в 2,2 раза превышает план отчетного периода (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 w:themeColor="text1"/>
          <w:sz w:val="28"/>
          <w:u w:val="none"/>
          <w:vertAlign w:val="baseline"/>
        </w:rPr>
        <w:t xml:space="preserve">31 853,8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руб.) и составляет 32,5</w:t>
      </w:r>
      <w:r>
        <w:rPr>
          <w:color w:val="000000" w:themeColor="text1"/>
          <w:sz w:val="28"/>
          <w:szCs w:val="28"/>
          <w:highlight w:val="white"/>
        </w:rPr>
        <w:t xml:space="preserve">% к плану года (216 854,0 тыс. руб.).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Относительно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аналогичного периода прошлого года поступления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 составили 141,2%.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 январе – феврале на аукционах реализовано в собственность 12 земельных участков, предназначенных под ИЖС, с превышением начальной цены  в 1,07 раза.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ос</w:t>
      </w:r>
      <w:r>
        <w:rPr>
          <w:color w:val="000000" w:themeColor="text1"/>
          <w:sz w:val="28"/>
          <w:szCs w:val="28"/>
          <w:highlight w:val="white"/>
        </w:rPr>
        <w:t xml:space="preserve">тупление средств от продажи земельных участков носит заявительный характер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 </w:t>
      </w:r>
      <w:r>
        <w:rPr>
          <w:b/>
          <w:color w:val="000000" w:themeColor="text1"/>
          <w:sz w:val="28"/>
          <w:szCs w:val="28"/>
          <w:highlight w:val="white"/>
        </w:rPr>
        <w:t xml:space="preserve">от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</w:t>
      </w:r>
      <w:r>
        <w:rPr>
          <w:b/>
          <w:color w:val="000000" w:themeColor="text1"/>
          <w:sz w:val="28"/>
          <w:szCs w:val="28"/>
          <w:highlight w:val="white"/>
        </w:rPr>
        <w:t xml:space="preserve">собственность на которые не разграничена</w:t>
      </w:r>
      <w:r>
        <w:rPr>
          <w:b/>
          <w:color w:val="000000" w:themeColor="text1"/>
          <w:sz w:val="28"/>
          <w:szCs w:val="28"/>
          <w:highlight w:val="white"/>
        </w:rPr>
        <w:t xml:space="preserve">,</w:t>
      </w:r>
      <w:r>
        <w:rPr>
          <w:b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Calibri"/>
          <w:i w:val="0"/>
          <w:iCs w:val="0"/>
          <w:color w:val="000000" w:themeColor="text1"/>
          <w:sz w:val="28"/>
          <w:szCs w:val="28"/>
          <w:highlight w:val="white"/>
        </w:rPr>
        <w:t xml:space="preserve">администрируемые департаментом земельных отношений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, поступили в размере 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 w:themeColor="text1"/>
          <w:sz w:val="28"/>
          <w:u w:val="none"/>
          <w:vertAlign w:val="baseline"/>
        </w:rPr>
        <w:t xml:space="preserve">36 135,9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тыс. руб., что в 2,5 раза больше плана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 w:themeColor="text1"/>
          <w:sz w:val="28"/>
          <w:u w:val="none"/>
          <w:vertAlign w:val="baseline"/>
        </w:rPr>
        <w:t xml:space="preserve">14 200,0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тыс. руб.) и составляет 35,5% к плану года (101 764,9 тыс.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руб.).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Относительно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ан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алогичного периода прошлого года поступления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 составили 176,2%.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Поступление средств от продажи земельных участков носит заявительный характер.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 от приватизации имущества,</w:t>
      </w:r>
      <w:r>
        <w:rPr>
          <w:b/>
          <w:i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color w:val="000000" w:themeColor="text1"/>
          <w:sz w:val="28"/>
          <w:szCs w:val="28"/>
          <w:highlight w:val="white"/>
        </w:rPr>
        <w:t xml:space="preserve">находящегося в собственности городских округов</w:t>
      </w:r>
      <w:r>
        <w:rPr>
          <w:color w:val="000000" w:themeColor="text1"/>
          <w:sz w:val="28"/>
          <w:szCs w:val="28"/>
          <w:highlight w:val="white"/>
        </w:rPr>
        <w:t xml:space="preserve">, поступили в размере </w:t>
      </w:r>
      <w:r>
        <w:rPr>
          <w:color w:val="000000" w:themeColor="text1"/>
          <w:sz w:val="28"/>
          <w:szCs w:val="28"/>
          <w:highlight w:val="white"/>
        </w:rPr>
        <w:t xml:space="preserve">7 556,3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составляет</w:t>
      </w:r>
      <w:r>
        <w:rPr>
          <w:color w:val="000000" w:themeColor="text1"/>
          <w:sz w:val="28"/>
          <w:szCs w:val="28"/>
          <w:highlight w:val="white"/>
        </w:rPr>
        <w:t xml:space="preserve"> 56,0% к плану отчетного периода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(13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482,7 тыс. руб.) и 14,9% к плану года (50 575,8 тыс. руб.)</w:t>
      </w:r>
      <w:r>
        <w:rPr>
          <w:color w:val="000000" w:themeColor="text1"/>
          <w:sz w:val="28"/>
          <w:szCs w:val="28"/>
          <w:highlight w:val="white"/>
        </w:rPr>
        <w:t xml:space="preserve">. Относительно аналогичного периода прошлого года поступления составили 40,6%.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000000" w:themeColor="text1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 том числе: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rFonts w:eastAsia="Calibri"/>
          <w:color w:val="000000" w:themeColor="text1"/>
          <w:sz w:val="28"/>
          <w:szCs w:val="28"/>
          <w:highlight w:val="white"/>
        </w:rPr>
        <w:suppressLineNumbers w:val="0"/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-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д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оходы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eastAsia="Calibri"/>
          <w:b w:val="0"/>
          <w:bCs w:val="0"/>
          <w:color w:val="000000" w:themeColor="text1"/>
          <w:sz w:val="28"/>
          <w:szCs w:val="28"/>
          <w:highlight w:val="white"/>
        </w:rPr>
        <w:t xml:space="preserve"> р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езультате реализации муниципального имущества в порядке, установленном Федеральным законом от 22.07.2008 № 159-ФЗ «Об особенностях отчуждения недвижимого имущества, находящегося в государственной собственн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в размере 7 556,3 тыс. руб.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что составляет 101,5% к плану отчетного периода </w:t>
      </w:r>
      <w:r>
        <w:rPr>
          <w:rFonts w:eastAsia="Calibri"/>
          <w:bCs/>
          <w:color w:val="000000" w:themeColor="text1"/>
          <w:sz w:val="28"/>
          <w:szCs w:val="28"/>
          <w:highlight w:val="white"/>
        </w:rPr>
        <w:t xml:space="preserve">(7 444,5 тыс. руб.) и 25,9% к плану года (29 223,8 тыс. руб.).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-1" w:firstLine="709"/>
        <w:spacing w:line="240" w:lineRule="auto"/>
        <w:widowControl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доходы </w:t>
      </w: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результате реализации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муниципального имущества на торгах в порядке, </w:t>
      </w:r>
      <w:r>
        <w:rPr>
          <w:color w:val="000000" w:themeColor="text1"/>
          <w:sz w:val="28"/>
          <w:szCs w:val="28"/>
          <w:highlight w:val="white"/>
        </w:rPr>
        <w:t xml:space="preserve">установленном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Федеральным законом от 21.12.2001 № 178-ФЗ «О приватизации государственного и муниципального имущества», при установленном плане отчетного периода </w:t>
      </w:r>
      <w:r>
        <w:rPr>
          <w:color w:val="000000" w:themeColor="text1"/>
          <w:sz w:val="28"/>
          <w:szCs w:val="28"/>
          <w:highlight w:val="white"/>
        </w:rPr>
        <w:t xml:space="preserve">6 038,2</w:t>
      </w:r>
      <w:r>
        <w:rPr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не поступили. Невыполнение</w:t>
      </w:r>
      <w:r>
        <w:rPr>
          <w:color w:val="000000" w:themeColor="text1"/>
          <w:sz w:val="28"/>
          <w:szCs w:val="28"/>
          <w:highlight w:val="white"/>
        </w:rPr>
        <w:t xml:space="preserve"> плана </w:t>
      </w:r>
      <w:r>
        <w:rPr>
          <w:color w:val="000000" w:themeColor="text1"/>
          <w:sz w:val="28"/>
          <w:szCs w:val="28"/>
          <w:highlight w:val="white"/>
        </w:rPr>
        <w:t xml:space="preserve">обусловлено отсутствием объявленных торгов по продаже муниципального имущества.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tabs>
          <w:tab w:val="left" w:pos="0" w:leader="none"/>
          <w:tab w:val="left" w:pos="709" w:leader="none"/>
        </w:tabs>
        <w:rPr>
          <w:i w:val="0"/>
          <w:iCs w:val="0"/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П</w:t>
      </w:r>
      <w:r>
        <w:rPr>
          <w:b/>
          <w:color w:val="000000" w:themeColor="text1"/>
          <w:sz w:val="28"/>
          <w:szCs w:val="28"/>
          <w:highlight w:val="white"/>
        </w:rPr>
        <w:t xml:space="preserve">рочие неналоговые доходы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оступили в сумме</w:t>
      </w:r>
      <w:r>
        <w:rPr>
          <w:color w:val="000000" w:themeColor="text1"/>
          <w:sz w:val="28"/>
          <w:szCs w:val="28"/>
          <w:highlight w:val="white"/>
        </w:rPr>
        <w:t xml:space="preserve"> 82</w:t>
      </w:r>
      <w:r>
        <w:rPr>
          <w:color w:val="000000" w:themeColor="text1"/>
          <w:sz w:val="28"/>
          <w:szCs w:val="28"/>
          <w:highlight w:val="white"/>
        </w:rPr>
        <w:t xml:space="preserve"> 246,8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в 3,8 раза превышает план отчетного периода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(21 600,0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тыс. руб.) и составляет 58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,9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%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к п</w:t>
      </w:r>
      <w:r>
        <w:rPr>
          <w:rFonts w:eastAsia="Calibri"/>
          <w:i w:val="0"/>
          <w:iCs w:val="0"/>
          <w:color w:val="000000" w:themeColor="text1"/>
          <w:sz w:val="28"/>
          <w:szCs w:val="28"/>
          <w:highlight w:val="white"/>
        </w:rPr>
        <w:t xml:space="preserve">лану года (139 604,7 тыс. руб.)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. </w:t>
      </w:r>
      <w:r>
        <w:rPr>
          <w:i w:val="0"/>
          <w:iCs w:val="0"/>
          <w:color w:val="000000" w:themeColor="text1"/>
          <w:sz w:val="28"/>
          <w:szCs w:val="28"/>
          <w:highlight w:val="none"/>
        </w:rPr>
      </w:r>
      <w:r>
        <w:rPr>
          <w:i w:val="0"/>
          <w:iCs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i w:val="0"/>
          <w:iCs w:val="0"/>
          <w:color w:val="000000" w:themeColor="text1"/>
          <w:highlight w:val="white"/>
        </w:rPr>
        <w:suppressLineNumbers w:val="0"/>
      </w:pP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В том числе:</w:t>
      </w:r>
      <w:r>
        <w:rPr>
          <w:i w:val="0"/>
          <w:iCs w:val="0"/>
          <w:color w:val="000000" w:themeColor="text1"/>
          <w:highlight w:val="white"/>
        </w:rPr>
      </w:r>
      <w:r>
        <w:rPr>
          <w:i w:val="0"/>
          <w:iCs w:val="0"/>
          <w:color w:val="000000" w:themeColor="text1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rFonts w:eastAsia="Calibri"/>
          <w:i w:val="0"/>
          <w:i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b/>
          <w:i w:val="0"/>
          <w:iCs w:val="0"/>
          <w:color w:val="000000" w:themeColor="text1"/>
          <w:sz w:val="28"/>
          <w:szCs w:val="28"/>
          <w:highlight w:val="white"/>
        </w:rPr>
        <w:t xml:space="preserve">-</w:t>
      </w:r>
      <w:r>
        <w:rPr>
          <w:b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восстановительная стоимость зеленых насаждений,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администрируемая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управлением по экологии и природопользовани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ю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Calibri"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поступила в сумме 53</w:t>
      </w:r>
      <w:r>
        <w:rPr>
          <w:rFonts w:eastAsia="Calibri"/>
          <w:i w:val="0"/>
          <w:iCs w:val="0"/>
          <w:color w:val="000000" w:themeColor="text1"/>
          <w:sz w:val="28"/>
          <w:szCs w:val="28"/>
          <w:highlight w:val="white"/>
        </w:rPr>
        <w:t xml:space="preserve"> 540,2</w:t>
      </w:r>
      <w:r>
        <w:rPr>
          <w:rFonts w:eastAsia="Calibri"/>
          <w:i w:val="0"/>
          <w:iCs w:val="0"/>
          <w:color w:val="000000" w:themeColor="text1"/>
          <w:sz w:val="28"/>
          <w:szCs w:val="28"/>
          <w:highlight w:val="white"/>
        </w:rPr>
        <w:t xml:space="preserve"> тыс. руб., </w:t>
      </w:r>
      <w:r>
        <w:rPr>
          <w:rFonts w:eastAsia="Calibri"/>
          <w:i w:val="0"/>
          <w:iCs w:val="0"/>
          <w:color w:val="000000" w:themeColor="text1"/>
          <w:sz w:val="28"/>
          <w:szCs w:val="28"/>
          <w:highlight w:val="white"/>
        </w:rPr>
        <w:t xml:space="preserve">что в 25,5 раза превышает план </w:t>
      </w:r>
      <w:r>
        <w:rPr>
          <w:rFonts w:eastAsia="Calibri"/>
          <w:i w:val="0"/>
          <w:iCs w:val="0"/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rFonts w:eastAsia="Calibri"/>
          <w:i w:val="0"/>
          <w:iCs w:val="0"/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eastAsia="Calibri"/>
          <w:i w:val="0"/>
          <w:iCs w:val="0"/>
          <w:color w:val="000000" w:themeColor="text1"/>
          <w:sz w:val="28"/>
          <w:szCs w:val="28"/>
          <w:highlight w:val="white"/>
        </w:rPr>
        <w:t xml:space="preserve">2 100,0</w:t>
      </w:r>
      <w:r>
        <w:rPr>
          <w:rFonts w:eastAsia="Calibri"/>
          <w:i w:val="0"/>
          <w:iCs w:val="0"/>
          <w:color w:val="000000" w:themeColor="text1"/>
          <w:sz w:val="28"/>
          <w:szCs w:val="28"/>
          <w:highlight w:val="white"/>
        </w:rPr>
        <w:t xml:space="preserve"> тыс. руб.) </w:t>
      </w:r>
      <w:r>
        <w:rPr>
          <w:rFonts w:eastAsia="Calibri"/>
          <w:i w:val="0"/>
          <w:iCs w:val="0"/>
          <w:color w:val="000000" w:themeColor="text1"/>
          <w:sz w:val="28"/>
          <w:szCs w:val="28"/>
          <w:highlight w:val="white"/>
        </w:rPr>
        <w:t xml:space="preserve">и </w:t>
      </w:r>
      <w:r>
        <w:rPr>
          <w:rFonts w:eastAsia="Calibri"/>
          <w:i w:val="0"/>
          <w:iCs w:val="0"/>
          <w:color w:val="000000" w:themeColor="text1"/>
          <w:sz w:val="28"/>
          <w:szCs w:val="28"/>
          <w:highlight w:val="white"/>
        </w:rPr>
        <w:t xml:space="preserve">составляет 86,0% к плану года</w:t>
      </w:r>
      <w:r>
        <w:rPr>
          <w:rFonts w:eastAsia="Calibri"/>
          <w:i w:val="0"/>
          <w:iCs w:val="0"/>
          <w:color w:val="000000" w:themeColor="text1"/>
          <w:sz w:val="28"/>
          <w:szCs w:val="28"/>
          <w:highlight w:val="white"/>
        </w:rPr>
        <w:t xml:space="preserve"> (62 240,6 тыс. руб.)</w:t>
      </w:r>
      <w:r>
        <w:rPr>
          <w:rFonts w:eastAsia="Calibri"/>
          <w:i w:val="0"/>
          <w:i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eastAsia="Calibri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Calibri"/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rFonts w:eastAsia="Calibri"/>
          <w:i w:val="0"/>
          <w:i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eastAsia="Calibri"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Перевыполнение плана обусловлено поступлениями от крупных предприятий в сфере строительства</w:t>
      </w:r>
      <w:r>
        <w:rPr>
          <w:rFonts w:eastAsia="Calibri"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0" w:leader="none"/>
        </w:tabs>
        <w:rPr>
          <w:b w:val="0"/>
          <w:bCs w:val="0"/>
          <w:i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лата за фактическое пользование земельными участка</w:t>
      </w: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м</w:t>
      </w: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до раз</w:t>
      </w: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граничения государственной собственности на землю</w:t>
      </w: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администрируемая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департаментом земельных отношений,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поступила в сумме 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 w:themeColor="text1"/>
          <w:sz w:val="28"/>
          <w:u w:val="none"/>
          <w:vertAlign w:val="baseline"/>
        </w:rPr>
        <w:t xml:space="preserve">28 617,5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, что на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в 1,5 раза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превыш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ает план отчетного периода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u w:val="none"/>
          <w:vertAlign w:val="baseline"/>
        </w:rPr>
        <w:t xml:space="preserve">19 500,0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тыс.руб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.)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и составляет 37,0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%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годового планово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го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задания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(77 364,1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тыс. руб.)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</w:t>
      </w:r>
      <w:r>
        <w:rPr>
          <w:iCs/>
          <w:color w:val="000000" w:themeColor="text1"/>
          <w:sz w:val="28"/>
          <w:szCs w:val="28"/>
          <w:highlight w:val="white"/>
        </w:rPr>
        <w:t xml:space="preserve">го периода прошлого года поступления составили 162,9%.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0" w:leader="none"/>
        </w:tabs>
        <w:rPr>
          <w:b w:val="0"/>
          <w:bCs w:val="0"/>
          <w:i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i w:val="0"/>
          <w:color w:val="000000" w:themeColor="text1"/>
          <w:sz w:val="28"/>
          <w:szCs w:val="28"/>
          <w:highlight w:val="none"/>
        </w:rPr>
        <w:t xml:space="preserve">Увеличение поступлений связано с систематическим выявлением земельных участков, используемых без оформленных прав, и выдачей разрешений на размещение объектов.</w:t>
      </w:r>
      <w:r>
        <w:rPr>
          <w:b w:val="0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0" w:leader="none"/>
        </w:tabs>
        <w:rPr>
          <w:b/>
          <w:bCs/>
          <w:color w:val="ff0000"/>
          <w:sz w:val="28"/>
          <w:szCs w:val="28"/>
          <w:highlight w:val="white"/>
        </w:rPr>
        <w:suppressLineNumbers w:val="0"/>
      </w:pPr>
      <w:r>
        <w:rPr>
          <w:b/>
          <w:bCs/>
          <w:color w:val="ff0000"/>
          <w:sz w:val="28"/>
          <w:szCs w:val="28"/>
          <w:highlight w:val="white"/>
        </w:rPr>
      </w:r>
      <w:r>
        <w:rPr>
          <w:b/>
          <w:bCs/>
          <w:color w:val="ff0000"/>
          <w:sz w:val="28"/>
          <w:szCs w:val="28"/>
          <w:highlight w:val="white"/>
        </w:rPr>
      </w:r>
    </w:p>
    <w:p>
      <w:pPr>
        <w:spacing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  <w:r>
        <w:rPr>
          <w:color w:val="ff0000"/>
          <w:sz w:val="20"/>
          <w:szCs w:val="20"/>
        </w:rPr>
      </w:r>
      <w:r>
        <w:rPr>
          <w:color w:val="ff0000"/>
          <w:sz w:val="20"/>
          <w:szCs w:val="20"/>
        </w:rPr>
      </w:r>
    </w:p>
    <w:p>
      <w:pPr>
        <w:spacing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  <w:r>
        <w:rPr>
          <w:color w:val="ff0000"/>
          <w:sz w:val="20"/>
          <w:szCs w:val="20"/>
        </w:rPr>
      </w:r>
      <w:r>
        <w:rPr>
          <w:color w:val="ff0000"/>
          <w:sz w:val="20"/>
          <w:szCs w:val="20"/>
        </w:rPr>
      </w:r>
    </w:p>
    <w:p>
      <w:pPr>
        <w:spacing w:line="240" w:lineRule="auto"/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</w:r>
      <w:r>
        <w:rPr>
          <w:color w:val="c00000"/>
          <w:sz w:val="20"/>
          <w:szCs w:val="20"/>
        </w:rPr>
      </w:r>
      <w:r>
        <w:rPr>
          <w:color w:val="c00000"/>
          <w:sz w:val="20"/>
          <w:szCs w:val="20"/>
        </w:rPr>
      </w:r>
    </w:p>
    <w:p>
      <w:pPr>
        <w:spacing w:line="240" w:lineRule="auto"/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</w:r>
      <w:r>
        <w:rPr>
          <w:color w:val="c00000"/>
          <w:sz w:val="20"/>
          <w:szCs w:val="20"/>
        </w:rPr>
      </w:r>
      <w:r>
        <w:rPr>
          <w:color w:val="c00000"/>
          <w:sz w:val="20"/>
          <w:szCs w:val="20"/>
        </w:rPr>
      </w:r>
    </w:p>
    <w:p>
      <w:pPr>
        <w:spacing w:line="240" w:lineRule="auto"/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</w:r>
      <w:r>
        <w:rPr>
          <w:color w:val="c00000"/>
          <w:sz w:val="20"/>
          <w:szCs w:val="20"/>
        </w:rPr>
      </w:r>
      <w:r>
        <w:rPr>
          <w:color w:val="c00000"/>
          <w:sz w:val="20"/>
          <w:szCs w:val="20"/>
        </w:rPr>
      </w:r>
    </w:p>
    <w:p>
      <w:pPr>
        <w:spacing w:line="240" w:lineRule="auto"/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</w:r>
      <w:r>
        <w:rPr>
          <w:color w:val="c00000"/>
          <w:sz w:val="20"/>
          <w:szCs w:val="20"/>
        </w:rPr>
      </w:r>
      <w:r>
        <w:rPr>
          <w:color w:val="c00000"/>
          <w:sz w:val="20"/>
          <w:szCs w:val="20"/>
        </w:rPr>
      </w:r>
    </w:p>
    <w:p>
      <w:pPr>
        <w:spacing w:line="240" w:lineRule="auto"/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</w:r>
      <w:r>
        <w:rPr>
          <w:color w:val="c00000"/>
          <w:sz w:val="20"/>
          <w:szCs w:val="20"/>
        </w:rPr>
      </w:r>
      <w:r>
        <w:rPr>
          <w:color w:val="c00000"/>
          <w:sz w:val="20"/>
          <w:szCs w:val="20"/>
        </w:rPr>
      </w:r>
    </w:p>
    <w:p>
      <w:pPr>
        <w:pStyle w:val="1127"/>
        <w:numPr>
          <w:ilvl w:val="0"/>
          <w:numId w:val="103"/>
        </w:numPr>
        <w:jc w:val="center"/>
        <w:spacing w:line="240" w:lineRule="atLeas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ИСПОЛНЕНИЕ БЮДЖЕТА ПО РАСХОДАМ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1127"/>
        <w:ind w:firstLine="360"/>
        <w:jc w:val="center"/>
        <w:spacing w:line="240" w:lineRule="atLeast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приложение 2 </w:t>
      </w:r>
      <w:r>
        <w:rPr>
          <w:sz w:val="28"/>
          <w:szCs w:val="28"/>
          <w:highlight w:val="white"/>
        </w:rPr>
        <w:t xml:space="preserve">к настоящей записке)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spacing w:line="240" w:lineRule="auto"/>
        <w:tabs>
          <w:tab w:val="left" w:pos="793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127"/>
        <w:ind w:firstLine="709"/>
        <w:spacing w:line="240" w:lineRule="auto"/>
        <w:tabs>
          <w:tab w:val="left" w:pos="7938" w:leader="none"/>
        </w:tabs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Кассовый расход бюджета (без учёта зарезервированных средств: на исполнение судебных исков, резервного фонда администрации города) на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1 апреля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2026</w:t>
      </w:r>
      <w:r>
        <w:rPr>
          <w:sz w:val="28"/>
          <w:szCs w:val="28"/>
          <w:highlight w:val="white"/>
        </w:rPr>
        <w:t xml:space="preserve"> года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составил</w:t>
      </w:r>
      <w:r>
        <w:rPr>
          <w:sz w:val="28"/>
          <w:szCs w:val="28"/>
          <w:highlight w:val="white"/>
        </w:rPr>
        <w:t xml:space="preserve"> 13 341 053,3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тыс. руб., или </w:t>
      </w:r>
      <w:r>
        <w:rPr>
          <w:b/>
          <w:bCs/>
          <w:sz w:val="28"/>
          <w:szCs w:val="28"/>
          <w:highlight w:val="white"/>
        </w:rPr>
        <w:t xml:space="preserve">96,8</w:t>
      </w:r>
      <w:r>
        <w:rPr>
          <w:b/>
          <w:sz w:val="28"/>
          <w:szCs w:val="28"/>
          <w:highlight w:val="white"/>
        </w:rPr>
        <w:t xml:space="preserve">% </w:t>
      </w:r>
      <w:r>
        <w:rPr>
          <w:sz w:val="28"/>
          <w:szCs w:val="28"/>
          <w:highlight w:val="white"/>
        </w:rPr>
        <w:t xml:space="preserve">от кассового</w:t>
      </w:r>
      <w:r>
        <w:rPr>
          <w:sz w:val="28"/>
          <w:szCs w:val="28"/>
          <w:highlight w:val="white"/>
        </w:rPr>
        <w:t xml:space="preserve"> плана отчетного периода</w:t>
      </w:r>
      <w:r>
        <w:rPr>
          <w:color w:val="ff0000"/>
          <w:sz w:val="28"/>
          <w:szCs w:val="28"/>
          <w:highlight w:val="white"/>
        </w:rPr>
        <w:t xml:space="preserve">               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13 775 344,9</w:t>
      </w:r>
      <w:r>
        <w:rPr>
          <w:color w:val="c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тыс. руб.)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 </w:t>
      </w:r>
      <w:r>
        <w:rPr>
          <w:b/>
          <w:bCs/>
          <w:sz w:val="28"/>
          <w:szCs w:val="28"/>
          <w:highlight w:val="white"/>
        </w:rPr>
        <w:t xml:space="preserve">19,1</w:t>
      </w:r>
      <w:r>
        <w:rPr>
          <w:b/>
          <w:sz w:val="28"/>
          <w:szCs w:val="28"/>
          <w:highlight w:val="white"/>
        </w:rPr>
        <w:t xml:space="preserve"> % </w:t>
      </w:r>
      <w:r>
        <w:rPr>
          <w:sz w:val="28"/>
          <w:szCs w:val="28"/>
          <w:highlight w:val="white"/>
        </w:rPr>
        <w:t xml:space="preserve">от годовых</w:t>
      </w:r>
      <w:r>
        <w:rPr>
          <w:sz w:val="28"/>
          <w:szCs w:val="28"/>
          <w:highlight w:val="white"/>
        </w:rPr>
        <w:t xml:space="preserve"> ассигнований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(70 013 840,3 </w:t>
      </w:r>
      <w:r>
        <w:rPr>
          <w:sz w:val="28"/>
          <w:szCs w:val="28"/>
          <w:highlight w:val="white"/>
        </w:rPr>
        <w:t xml:space="preserve">тыс. руб.).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Исполнение по расходам за </w:t>
      </w:r>
      <w:r>
        <w:rPr>
          <w:sz w:val="28"/>
          <w:szCs w:val="28"/>
          <w:highlight w:val="white"/>
        </w:rPr>
        <w:t xml:space="preserve">январ</w:t>
      </w:r>
      <w:r>
        <w:rPr>
          <w:sz w:val="28"/>
          <w:szCs w:val="28"/>
          <w:highlight w:val="white"/>
        </w:rPr>
        <w:t xml:space="preserve">ь-март </w:t>
      </w:r>
      <w:r>
        <w:rPr>
          <w:sz w:val="28"/>
          <w:szCs w:val="28"/>
          <w:highlight w:val="white"/>
        </w:rPr>
        <w:t xml:space="preserve">2025</w:t>
      </w:r>
      <w:r>
        <w:rPr>
          <w:sz w:val="28"/>
          <w:szCs w:val="28"/>
          <w:highlight w:val="white"/>
        </w:rPr>
        <w:t xml:space="preserve"> года </w:t>
      </w:r>
      <w:r>
        <w:rPr>
          <w:color w:val="auto"/>
          <w:sz w:val="28"/>
          <w:szCs w:val="28"/>
          <w:highlight w:val="white"/>
        </w:rPr>
        <w:t xml:space="preserve">составляло </w:t>
      </w:r>
      <w:r>
        <w:rPr>
          <w:color w:val="auto"/>
          <w:sz w:val="28"/>
          <w:szCs w:val="28"/>
          <w:highlight w:val="white"/>
        </w:rPr>
        <w:t xml:space="preserve">11 857 106,8</w:t>
      </w:r>
      <w:r>
        <w:rPr>
          <w:color w:val="c00000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тыс.руб.,</w:t>
      </w:r>
      <w:r>
        <w:rPr>
          <w:color w:val="000000" w:themeColor="text1"/>
          <w:sz w:val="28"/>
          <w:szCs w:val="28"/>
          <w:highlight w:val="white"/>
        </w:rPr>
        <w:t xml:space="preserve">                          </w:t>
      </w:r>
      <w:r>
        <w:rPr>
          <w:color w:val="000000" w:themeColor="text1"/>
          <w:sz w:val="28"/>
          <w:szCs w:val="28"/>
          <w:highlight w:val="white"/>
        </w:rPr>
        <w:t xml:space="preserve">или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98,0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%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кассового</w:t>
      </w:r>
      <w:r>
        <w:rPr>
          <w:color w:val="000000" w:themeColor="text1"/>
          <w:sz w:val="28"/>
          <w:szCs w:val="28"/>
          <w:highlight w:val="white"/>
        </w:rPr>
        <w:t xml:space="preserve"> плана отчетного периода 2025</w:t>
      </w:r>
      <w:r>
        <w:rPr>
          <w:color w:val="000000" w:themeColor="text1"/>
          <w:sz w:val="28"/>
          <w:szCs w:val="28"/>
          <w:highlight w:val="white"/>
        </w:rPr>
        <w:t xml:space="preserve"> года </w:t>
      </w:r>
      <w:r>
        <w:rPr>
          <w:color w:val="000000" w:themeColor="text1"/>
          <w:sz w:val="28"/>
          <w:szCs w:val="28"/>
          <w:highlight w:val="white"/>
        </w:rPr>
        <w:t xml:space="preserve">и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18,3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%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от г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одовых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ассигнований.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1127"/>
        <w:spacing w:line="240" w:lineRule="auto"/>
        <w:rPr>
          <w:color w:val="c00000"/>
          <w:sz w:val="28"/>
          <w:szCs w:val="28"/>
          <w:highlight w:val="white"/>
        </w:rPr>
      </w:pPr>
      <w:r>
        <w:rPr>
          <w:color w:val="c00000"/>
          <w:sz w:val="28"/>
          <w:szCs w:val="28"/>
          <w:highlight w:val="white"/>
        </w:rPr>
        <w:t xml:space="preserve">       </w:t>
      </w:r>
      <w:r>
        <w:rPr>
          <w:color w:val="c00000"/>
          <w:sz w:val="28"/>
          <w:szCs w:val="28"/>
          <w:highlight w:val="white"/>
        </w:rPr>
      </w:r>
      <w:r>
        <w:rPr>
          <w:color w:val="c00000"/>
          <w:sz w:val="28"/>
          <w:szCs w:val="28"/>
          <w:highlight w:val="white"/>
        </w:rPr>
      </w:r>
    </w:p>
    <w:p>
      <w:pPr>
        <w:pStyle w:val="1127"/>
        <w:ind w:firstLine="709"/>
        <w:spacing w:line="240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Расходная часть бюджета за </w:t>
      </w:r>
      <w:r>
        <w:rPr>
          <w:sz w:val="28"/>
          <w:szCs w:val="28"/>
          <w:highlight w:val="white"/>
        </w:rPr>
        <w:t xml:space="preserve">январ</w:t>
      </w:r>
      <w:r>
        <w:rPr>
          <w:sz w:val="28"/>
          <w:szCs w:val="28"/>
          <w:highlight w:val="white"/>
        </w:rPr>
        <w:t xml:space="preserve">ь-март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2026</w:t>
      </w:r>
      <w:r>
        <w:rPr>
          <w:sz w:val="28"/>
          <w:szCs w:val="28"/>
          <w:highlight w:val="white"/>
        </w:rPr>
        <w:t xml:space="preserve"> года в разрезе источников финансирования исполнена следующим образом.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27"/>
        <w:ind w:firstLine="709"/>
        <w:spacing w:line="240" w:lineRule="atLeast"/>
        <w:rPr>
          <w:color w:val="ff0000"/>
          <w:sz w:val="20"/>
          <w:szCs w:val="16"/>
          <w:highlight w:val="white"/>
        </w:rPr>
      </w:pPr>
      <w:r>
        <w:rPr>
          <w:color w:val="ff0000"/>
          <w:sz w:val="20"/>
          <w:szCs w:val="16"/>
          <w:highlight w:val="white"/>
        </w:rPr>
      </w:r>
      <w:r>
        <w:rPr>
          <w:color w:val="ff0000"/>
          <w:sz w:val="20"/>
          <w:szCs w:val="16"/>
          <w:highlight w:val="white"/>
        </w:rPr>
      </w:r>
      <w:r>
        <w:rPr>
          <w:color w:val="ff0000"/>
          <w:sz w:val="20"/>
          <w:szCs w:val="16"/>
          <w:highlight w:val="white"/>
        </w:rPr>
      </w:r>
    </w:p>
    <w:p>
      <w:pPr>
        <w:ind w:firstLine="709"/>
        <w:spacing w:line="240" w:lineRule="atLeast"/>
        <w:rPr>
          <w:b/>
          <w:bCs/>
          <w:color w:val="c00000"/>
          <w:sz w:val="20"/>
          <w:szCs w:val="20"/>
          <w:highlight w:val="white"/>
        </w:rPr>
      </w:pPr>
      <w:r>
        <w:rPr>
          <w:b/>
          <w:sz w:val="28"/>
          <w:szCs w:val="28"/>
          <w:highlight w:val="white"/>
        </w:rPr>
        <w:t xml:space="preserve">2.1. за счет</w:t>
      </w:r>
      <w:r>
        <w:rPr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средств местного бюджета на выполнение собственных полномочий (без учёта зарезервированных средств) </w:t>
      </w:r>
      <w:r>
        <w:rPr>
          <w:sz w:val="28"/>
          <w:szCs w:val="28"/>
          <w:highlight w:val="white"/>
        </w:rPr>
        <w:t xml:space="preserve">- кассовое исполнение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составляет</w:t>
      </w:r>
      <w:r>
        <w:rPr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7 878 775,4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</w:t>
      </w:r>
      <w:r>
        <w:rPr>
          <w:sz w:val="28"/>
          <w:szCs w:val="28"/>
          <w:highlight w:val="white"/>
        </w:rPr>
        <w:t xml:space="preserve">. руб., или </w:t>
      </w:r>
      <w:r>
        <w:rPr>
          <w:b/>
          <w:bCs/>
          <w:sz w:val="28"/>
          <w:szCs w:val="28"/>
          <w:highlight w:val="white"/>
        </w:rPr>
        <w:t xml:space="preserve">94,9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%</w:t>
      </w:r>
      <w:r>
        <w:rPr>
          <w:sz w:val="28"/>
          <w:szCs w:val="28"/>
          <w:highlight w:val="white"/>
        </w:rPr>
        <w:t xml:space="preserve"> от</w:t>
      </w:r>
      <w:r>
        <w:rPr>
          <w:sz w:val="28"/>
          <w:szCs w:val="28"/>
          <w:highlight w:val="white"/>
        </w:rPr>
        <w:t xml:space="preserve"> кассового</w:t>
      </w:r>
      <w:r>
        <w:rPr>
          <w:sz w:val="28"/>
          <w:szCs w:val="28"/>
          <w:highlight w:val="white"/>
        </w:rPr>
        <w:t xml:space="preserve"> плана</w:t>
      </w:r>
      <w:r>
        <w:rPr>
          <w:sz w:val="28"/>
          <w:szCs w:val="28"/>
          <w:highlight w:val="white"/>
        </w:rPr>
        <w:t xml:space="preserve"> отчетного периода –</w:t>
      </w:r>
      <w:r>
        <w:rPr>
          <w:color w:val="ff0000"/>
          <w:sz w:val="28"/>
          <w:szCs w:val="28"/>
          <w:highlight w:val="white"/>
        </w:rPr>
        <w:t xml:space="preserve">           </w:t>
      </w:r>
      <w:r>
        <w:rPr>
          <w:color w:val="000000" w:themeColor="text1"/>
          <w:sz w:val="28"/>
          <w:szCs w:val="28"/>
          <w:highlight w:val="white"/>
        </w:rPr>
        <w:t xml:space="preserve">8 299 027,7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тыс. руб</w:t>
      </w:r>
      <w:r>
        <w:rPr>
          <w:sz w:val="28"/>
          <w:szCs w:val="28"/>
          <w:highlight w:val="white"/>
        </w:rPr>
        <w:t xml:space="preserve">.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 </w:t>
      </w:r>
      <w:r>
        <w:rPr>
          <w:b/>
          <w:bCs/>
          <w:sz w:val="28"/>
          <w:szCs w:val="28"/>
          <w:highlight w:val="white"/>
        </w:rPr>
        <w:t xml:space="preserve">19,3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%</w:t>
      </w:r>
      <w:r>
        <w:rPr>
          <w:sz w:val="28"/>
          <w:szCs w:val="28"/>
          <w:highlight w:val="white"/>
        </w:rPr>
        <w:t xml:space="preserve"> от</w:t>
      </w:r>
      <w:r>
        <w:rPr>
          <w:sz w:val="28"/>
          <w:szCs w:val="28"/>
          <w:highlight w:val="white"/>
        </w:rPr>
        <w:t xml:space="preserve"> годовых ассигнований</w:t>
      </w:r>
      <w:r>
        <w:rPr>
          <w:sz w:val="28"/>
          <w:szCs w:val="28"/>
          <w:highlight w:val="white"/>
        </w:rPr>
        <w:t xml:space="preserve">.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Исполнение расходов                      за </w:t>
      </w:r>
      <w:r>
        <w:rPr>
          <w:color w:val="000000" w:themeColor="text1"/>
          <w:sz w:val="28"/>
          <w:szCs w:val="28"/>
          <w:highlight w:val="white"/>
        </w:rPr>
        <w:t xml:space="preserve">январь-март  </w:t>
      </w:r>
      <w:r>
        <w:rPr>
          <w:color w:val="000000" w:themeColor="text1"/>
          <w:sz w:val="28"/>
          <w:szCs w:val="28"/>
          <w:highlight w:val="whit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025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года составляло </w:t>
      </w:r>
      <w:r>
        <w:rPr>
          <w:color w:val="000000" w:themeColor="text1"/>
          <w:sz w:val="28"/>
          <w:szCs w:val="28"/>
          <w:highlight w:val="white"/>
        </w:rPr>
        <w:t xml:space="preserve">6 758 244,9 </w:t>
      </w:r>
      <w:r>
        <w:rPr>
          <w:color w:val="000000" w:themeColor="text1"/>
          <w:sz w:val="28"/>
          <w:szCs w:val="28"/>
          <w:highlight w:val="white"/>
        </w:rPr>
        <w:t xml:space="preserve">тыс. руб., или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97,3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%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кассового</w:t>
      </w:r>
      <w:r>
        <w:rPr>
          <w:color w:val="000000" w:themeColor="text1"/>
          <w:sz w:val="28"/>
          <w:szCs w:val="28"/>
          <w:highlight w:val="white"/>
        </w:rPr>
        <w:t xml:space="preserve"> плана отчетного периода 2025</w:t>
      </w:r>
      <w:r>
        <w:rPr>
          <w:color w:val="000000" w:themeColor="text1"/>
          <w:sz w:val="28"/>
          <w:szCs w:val="28"/>
          <w:highlight w:val="white"/>
        </w:rPr>
        <w:t xml:space="preserve"> года и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17,4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%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годовых</w:t>
      </w:r>
      <w:r>
        <w:rPr>
          <w:color w:val="000000" w:themeColor="text1"/>
          <w:sz w:val="28"/>
          <w:szCs w:val="28"/>
          <w:highlight w:val="white"/>
        </w:rPr>
        <w:t xml:space="preserve"> ассигнований. </w:t>
      </w:r>
      <w:r>
        <w:rPr>
          <w:color w:val="000000" w:themeColor="text1"/>
          <w:sz w:val="28"/>
          <w:szCs w:val="28"/>
          <w:highlight w:val="white"/>
        </w:rPr>
        <w:t xml:space="preserve">  </w:t>
      </w:r>
      <w:r>
        <w:rPr>
          <w:color w:val="c00000"/>
          <w:sz w:val="28"/>
          <w:szCs w:val="28"/>
          <w:highlight w:val="white"/>
        </w:rPr>
        <w:t xml:space="preserve">   </w:t>
      </w:r>
      <w:r>
        <w:rPr>
          <w:b/>
          <w:bCs/>
          <w:color w:val="c00000"/>
          <w:sz w:val="20"/>
          <w:szCs w:val="20"/>
          <w:highlight w:val="white"/>
        </w:rPr>
        <w:t xml:space="preserve">    </w:t>
      </w:r>
      <w:r>
        <w:rPr>
          <w:b/>
          <w:bCs/>
          <w:color w:val="c00000"/>
          <w:sz w:val="20"/>
          <w:szCs w:val="20"/>
          <w:highlight w:val="white"/>
        </w:rPr>
        <w:t xml:space="preserve">   </w:t>
      </w:r>
      <w:r>
        <w:rPr>
          <w:b/>
          <w:bCs/>
          <w:color w:val="c00000"/>
          <w:sz w:val="20"/>
          <w:szCs w:val="20"/>
          <w:highlight w:val="white"/>
        </w:rPr>
      </w:r>
      <w:r>
        <w:rPr>
          <w:b/>
          <w:bCs/>
          <w:color w:val="c00000"/>
          <w:sz w:val="20"/>
          <w:szCs w:val="20"/>
          <w:highlight w:val="white"/>
        </w:rPr>
      </w:r>
    </w:p>
    <w:p>
      <w:pPr>
        <w:pStyle w:val="1127"/>
        <w:ind w:firstLine="709"/>
        <w:spacing w:line="240" w:lineRule="atLeast"/>
        <w:tabs>
          <w:tab w:val="right" w:pos="10488" w:leader="none"/>
        </w:tabs>
        <w:rPr>
          <w:b/>
          <w:bCs/>
          <w:color w:val="ff0000"/>
          <w:sz w:val="20"/>
          <w:szCs w:val="20"/>
          <w:highlight w:val="white"/>
        </w:rPr>
      </w:pPr>
      <w:r>
        <w:rPr>
          <w:b/>
          <w:bCs/>
          <w:sz w:val="20"/>
          <w:szCs w:val="20"/>
          <w:highlight w:val="white"/>
        </w:rPr>
        <w:t xml:space="preserve">   </w:t>
      </w:r>
      <w:r>
        <w:rPr>
          <w:b/>
          <w:bCs/>
          <w:sz w:val="16"/>
          <w:szCs w:val="20"/>
          <w:highlight w:val="white"/>
        </w:rPr>
        <w:t xml:space="preserve">   </w:t>
      </w:r>
      <w:r>
        <w:rPr>
          <w:b/>
          <w:bCs/>
          <w:sz w:val="20"/>
          <w:szCs w:val="20"/>
          <w:highlight w:val="white"/>
        </w:rPr>
        <w:t xml:space="preserve">                                                                                                                          </w:t>
      </w:r>
      <w:r>
        <w:rPr>
          <w:b/>
          <w:bCs/>
          <w:color w:val="ff0000"/>
          <w:sz w:val="20"/>
          <w:szCs w:val="20"/>
          <w:highlight w:val="white"/>
        </w:rPr>
        <w:tab/>
      </w:r>
      <w:r>
        <w:rPr>
          <w:b/>
          <w:bCs/>
          <w:color w:val="ff0000"/>
          <w:sz w:val="20"/>
          <w:szCs w:val="20"/>
          <w:highlight w:val="white"/>
        </w:rPr>
      </w:r>
      <w:r>
        <w:rPr>
          <w:b/>
          <w:bCs/>
          <w:color w:val="ff0000"/>
          <w:sz w:val="20"/>
          <w:szCs w:val="20"/>
          <w:highlight w:val="white"/>
        </w:rPr>
      </w:r>
    </w:p>
    <w:p>
      <w:pPr>
        <w:ind w:firstLine="709"/>
        <w:spacing w:line="240" w:lineRule="atLeast"/>
        <w:rPr>
          <w:color w:val="000000" w:themeColor="text1"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2.2. за счет средств, выделенных на исполнение</w:t>
      </w:r>
      <w:r>
        <w:rPr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государственных полномочий, -</w:t>
      </w:r>
      <w:r>
        <w:rPr>
          <w:sz w:val="28"/>
          <w:szCs w:val="28"/>
          <w:highlight w:val="white"/>
        </w:rPr>
        <w:t xml:space="preserve"> кассовое исполнение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составляет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3 764 029,5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ыс</w:t>
      </w:r>
      <w:r>
        <w:rPr>
          <w:sz w:val="28"/>
          <w:szCs w:val="28"/>
          <w:highlight w:val="white"/>
        </w:rPr>
        <w:t xml:space="preserve">. руб</w:t>
      </w:r>
      <w:r>
        <w:rPr>
          <w:sz w:val="28"/>
          <w:szCs w:val="28"/>
          <w:highlight w:val="white"/>
        </w:rPr>
        <w:t xml:space="preserve">., </w:t>
      </w:r>
      <w:r>
        <w:rPr>
          <w:sz w:val="28"/>
          <w:szCs w:val="28"/>
          <w:highlight w:val="white"/>
        </w:rPr>
        <w:t xml:space="preserve">или </w:t>
      </w:r>
      <w:r>
        <w:rPr>
          <w:b/>
          <w:sz w:val="28"/>
          <w:szCs w:val="28"/>
          <w:highlight w:val="white"/>
        </w:rPr>
        <w:t xml:space="preserve">99,8</w:t>
      </w:r>
      <w:r>
        <w:rPr>
          <w:b/>
          <w:sz w:val="28"/>
          <w:szCs w:val="28"/>
          <w:highlight w:val="white"/>
        </w:rPr>
        <w:t xml:space="preserve"> %</w:t>
      </w:r>
      <w:r>
        <w:rPr>
          <w:b/>
          <w:color w:val="ff0000"/>
          <w:sz w:val="28"/>
          <w:szCs w:val="28"/>
          <w:highlight w:val="white"/>
        </w:rPr>
        <w:t xml:space="preserve">                      </w:t>
      </w:r>
      <w:r>
        <w:rPr>
          <w:sz w:val="28"/>
          <w:szCs w:val="28"/>
          <w:highlight w:val="white"/>
        </w:rPr>
        <w:t xml:space="preserve">от кассового плана отчетного периода </w:t>
      </w:r>
      <w:r>
        <w:rPr>
          <w:sz w:val="28"/>
          <w:szCs w:val="28"/>
          <w:highlight w:val="white"/>
        </w:rPr>
        <w:t xml:space="preserve">– 3 772 766,7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тыс.</w:t>
      </w:r>
      <w:r>
        <w:rPr>
          <w:sz w:val="28"/>
          <w:szCs w:val="28"/>
          <w:highlight w:val="white"/>
        </w:rPr>
        <w:t xml:space="preserve"> руб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и </w:t>
      </w:r>
      <w:r>
        <w:rPr>
          <w:b/>
          <w:bCs/>
          <w:sz w:val="28"/>
          <w:szCs w:val="28"/>
          <w:highlight w:val="white"/>
        </w:rPr>
        <w:t xml:space="preserve">20,1</w:t>
      </w:r>
      <w:r>
        <w:rPr>
          <w:b/>
          <w:sz w:val="28"/>
          <w:szCs w:val="28"/>
          <w:highlight w:val="white"/>
        </w:rPr>
        <w:t xml:space="preserve"> %</w:t>
      </w:r>
      <w:r>
        <w:rPr>
          <w:sz w:val="28"/>
          <w:szCs w:val="28"/>
          <w:highlight w:val="white"/>
        </w:rPr>
        <w:t xml:space="preserve"> от</w:t>
      </w:r>
      <w:r>
        <w:rPr>
          <w:sz w:val="28"/>
          <w:szCs w:val="28"/>
          <w:highlight w:val="white"/>
        </w:rPr>
        <w:t xml:space="preserve"> годовых</w:t>
      </w:r>
      <w:r>
        <w:rPr>
          <w:sz w:val="28"/>
          <w:szCs w:val="28"/>
          <w:highlight w:val="white"/>
        </w:rPr>
        <w:t xml:space="preserve"> ассигнований. </w:t>
      </w:r>
      <w:r>
        <w:rPr>
          <w:color w:val="000000" w:themeColor="text1"/>
          <w:sz w:val="28"/>
          <w:szCs w:val="28"/>
          <w:highlight w:val="white"/>
        </w:rPr>
        <w:t xml:space="preserve">Исполнение расходов за </w:t>
      </w:r>
      <w:r>
        <w:rPr>
          <w:color w:val="000000" w:themeColor="text1"/>
          <w:sz w:val="28"/>
          <w:szCs w:val="28"/>
          <w:highlight w:val="white"/>
        </w:rPr>
        <w:t xml:space="preserve">январь-март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2025</w:t>
      </w:r>
      <w:r>
        <w:rPr>
          <w:color w:val="000000" w:themeColor="text1"/>
          <w:sz w:val="28"/>
          <w:szCs w:val="28"/>
          <w:highlight w:val="white"/>
        </w:rPr>
        <w:t xml:space="preserve"> года составляло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3 474 335,8 </w:t>
      </w:r>
      <w:r>
        <w:rPr>
          <w:color w:val="000000" w:themeColor="text1"/>
          <w:sz w:val="28"/>
          <w:szCs w:val="28"/>
          <w:highlight w:val="white"/>
        </w:rPr>
        <w:t xml:space="preserve">тыс.</w:t>
      </w:r>
      <w:r>
        <w:rPr>
          <w:color w:val="000000" w:themeColor="text1"/>
          <w:sz w:val="28"/>
          <w:szCs w:val="28"/>
          <w:highlight w:val="white"/>
        </w:rPr>
        <w:t xml:space="preserve">руб., </w:t>
      </w:r>
      <w:r>
        <w:rPr>
          <w:color w:val="000000" w:themeColor="text1"/>
          <w:sz w:val="28"/>
          <w:szCs w:val="28"/>
          <w:highlight w:val="white"/>
        </w:rPr>
        <w:t xml:space="preserve">или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98,4</w:t>
      </w:r>
      <w:r>
        <w:rPr>
          <w:b/>
          <w:color w:val="000000" w:themeColor="text1"/>
          <w:sz w:val="28"/>
          <w:szCs w:val="28"/>
          <w:highlight w:val="white"/>
        </w:rPr>
        <w:t xml:space="preserve"> %</w:t>
      </w:r>
      <w:r>
        <w:rPr>
          <w:color w:val="000000" w:themeColor="text1"/>
          <w:sz w:val="28"/>
          <w:szCs w:val="28"/>
          <w:highlight w:val="white"/>
        </w:rPr>
        <w:t xml:space="preserve"> от кассового плана отчетного периода 2025</w:t>
      </w:r>
      <w:r>
        <w:rPr>
          <w:color w:val="000000" w:themeColor="text1"/>
          <w:sz w:val="28"/>
          <w:szCs w:val="28"/>
          <w:highlight w:val="white"/>
        </w:rPr>
        <w:t xml:space="preserve"> года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2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0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,7</w:t>
      </w:r>
      <w:r>
        <w:rPr>
          <w:b/>
          <w:color w:val="000000" w:themeColor="text1"/>
          <w:sz w:val="28"/>
          <w:szCs w:val="28"/>
          <w:highlight w:val="white"/>
        </w:rPr>
        <w:t xml:space="preserve">%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годовых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ссигнований.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27"/>
        <w:ind w:firstLine="709"/>
        <w:spacing w:line="240" w:lineRule="atLeast"/>
        <w:rPr>
          <w:color w:val="ff0000"/>
          <w:sz w:val="16"/>
          <w:szCs w:val="16"/>
          <w:highlight w:val="white"/>
        </w:rPr>
      </w:pPr>
      <w:r>
        <w:rPr>
          <w:color w:val="ff0000"/>
          <w:sz w:val="16"/>
          <w:szCs w:val="16"/>
          <w:highlight w:val="white"/>
        </w:rPr>
      </w:r>
      <w:r>
        <w:rPr>
          <w:color w:val="ff0000"/>
          <w:sz w:val="16"/>
          <w:szCs w:val="16"/>
          <w:highlight w:val="white"/>
        </w:rPr>
      </w:r>
      <w:r>
        <w:rPr>
          <w:color w:val="ff0000"/>
          <w:sz w:val="16"/>
          <w:szCs w:val="16"/>
          <w:highlight w:val="white"/>
        </w:rPr>
      </w:r>
    </w:p>
    <w:p>
      <w:pPr>
        <w:pStyle w:val="1127"/>
        <w:ind w:firstLine="720"/>
        <w:spacing w:line="240" w:lineRule="atLeast"/>
        <w:rPr>
          <w:color w:val="000000" w:themeColor="text1"/>
          <w:sz w:val="28"/>
          <w:szCs w:val="28"/>
          <w:highlight w:val="white"/>
        </w:rPr>
      </w:pPr>
      <w:r>
        <w:rPr>
          <w:b/>
          <w:sz w:val="28"/>
          <w:highlight w:val="white"/>
        </w:rPr>
        <w:t xml:space="preserve">2.3. за счет средств, переданных из краевого бюджета на выполнение полномочий городского округа, - </w:t>
      </w:r>
      <w:r>
        <w:rPr>
          <w:sz w:val="28"/>
          <w:szCs w:val="28"/>
          <w:highlight w:val="white"/>
        </w:rPr>
        <w:t xml:space="preserve">кассовое исполнение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составляет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1 698 248,4 </w:t>
      </w:r>
      <w:r>
        <w:rPr>
          <w:sz w:val="28"/>
          <w:szCs w:val="28"/>
          <w:highlight w:val="white"/>
        </w:rPr>
        <w:t xml:space="preserve">тыс. руб., </w:t>
      </w:r>
      <w:r>
        <w:rPr>
          <w:sz w:val="28"/>
          <w:szCs w:val="28"/>
          <w:highlight w:val="white"/>
        </w:rPr>
        <w:t xml:space="preserve">или </w:t>
      </w:r>
      <w:r>
        <w:rPr>
          <w:b/>
          <w:bCs/>
          <w:sz w:val="28"/>
          <w:szCs w:val="28"/>
          <w:highlight w:val="white"/>
        </w:rPr>
        <w:t xml:space="preserve">99,7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%</w:t>
      </w:r>
      <w:r>
        <w:rPr>
          <w:sz w:val="28"/>
          <w:szCs w:val="28"/>
          <w:highlight w:val="white"/>
        </w:rPr>
        <w:t xml:space="preserve"> от кассового</w:t>
      </w:r>
      <w:r>
        <w:rPr>
          <w:sz w:val="28"/>
          <w:szCs w:val="28"/>
          <w:highlight w:val="white"/>
        </w:rPr>
        <w:t xml:space="preserve"> плана отчетного</w:t>
      </w:r>
      <w:r>
        <w:rPr>
          <w:sz w:val="28"/>
          <w:szCs w:val="28"/>
          <w:highlight w:val="white"/>
        </w:rPr>
        <w:t xml:space="preserve"> периода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  <w:highlight w:val="white"/>
        </w:rPr>
        <w:t xml:space="preserve">1 703 550,6 </w:t>
      </w:r>
      <w:r>
        <w:rPr>
          <w:sz w:val="28"/>
          <w:szCs w:val="28"/>
          <w:highlight w:val="white"/>
        </w:rPr>
        <w:t xml:space="preserve">тыс. руб.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 </w:t>
      </w:r>
      <w:r>
        <w:rPr>
          <w:b/>
          <w:bCs/>
          <w:sz w:val="28"/>
          <w:szCs w:val="28"/>
          <w:highlight w:val="white"/>
        </w:rPr>
        <w:t xml:space="preserve">16,1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%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одовых </w:t>
      </w:r>
      <w:r>
        <w:rPr>
          <w:sz w:val="28"/>
          <w:szCs w:val="28"/>
          <w:highlight w:val="white"/>
        </w:rPr>
        <w:t xml:space="preserve">ассигнований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Исполнение расходов за </w:t>
      </w:r>
      <w:r>
        <w:rPr>
          <w:color w:val="000000" w:themeColor="text1"/>
          <w:sz w:val="28"/>
          <w:szCs w:val="28"/>
          <w:highlight w:val="white"/>
        </w:rPr>
        <w:t xml:space="preserve">январ</w:t>
      </w:r>
      <w:r>
        <w:rPr>
          <w:color w:val="000000" w:themeColor="text1"/>
          <w:sz w:val="28"/>
          <w:szCs w:val="28"/>
          <w:highlight w:val="white"/>
        </w:rPr>
        <w:t xml:space="preserve">ь-март </w:t>
      </w:r>
      <w:r>
        <w:rPr>
          <w:color w:val="000000" w:themeColor="text1"/>
          <w:sz w:val="28"/>
          <w:szCs w:val="28"/>
          <w:highlight w:val="white"/>
        </w:rPr>
        <w:t xml:space="preserve">2025</w:t>
      </w:r>
      <w:r>
        <w:rPr>
          <w:color w:val="000000" w:themeColor="text1"/>
          <w:sz w:val="28"/>
          <w:szCs w:val="28"/>
          <w:highlight w:val="white"/>
        </w:rPr>
        <w:t xml:space="preserve"> года составляло</w:t>
      </w:r>
      <w:r>
        <w:rPr>
          <w:color w:val="000000" w:themeColor="text1"/>
          <w:sz w:val="28"/>
          <w:szCs w:val="28"/>
          <w:highlight w:val="white"/>
        </w:rPr>
        <w:t xml:space="preserve">  </w:t>
        <w:br/>
        <w:t xml:space="preserve">1 624 526,0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руб., или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99,9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color w:val="000000" w:themeColor="text1"/>
          <w:sz w:val="28"/>
          <w:szCs w:val="28"/>
          <w:highlight w:val="white"/>
        </w:rPr>
        <w:t xml:space="preserve">% </w:t>
      </w:r>
      <w:r>
        <w:rPr>
          <w:color w:val="000000" w:themeColor="text1"/>
          <w:sz w:val="28"/>
          <w:szCs w:val="28"/>
          <w:highlight w:val="white"/>
        </w:rPr>
        <w:t xml:space="preserve">от кассового</w:t>
      </w:r>
      <w:r>
        <w:rPr>
          <w:color w:val="000000" w:themeColor="text1"/>
          <w:sz w:val="28"/>
          <w:szCs w:val="28"/>
          <w:highlight w:val="white"/>
        </w:rPr>
        <w:t xml:space="preserve"> плана отчетного периода 2025</w:t>
      </w:r>
      <w:r>
        <w:rPr>
          <w:color w:val="000000" w:themeColor="text1"/>
          <w:sz w:val="28"/>
          <w:szCs w:val="28"/>
          <w:highlight w:val="white"/>
        </w:rPr>
        <w:t xml:space="preserve"> года </w:t>
      </w:r>
      <w:r>
        <w:rPr>
          <w:color w:val="000000" w:themeColor="text1"/>
          <w:sz w:val="28"/>
          <w:szCs w:val="28"/>
          <w:highlight w:val="white"/>
        </w:rPr>
        <w:t xml:space="preserve">и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17,6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%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годовых ассигнований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27"/>
        <w:ind w:firstLine="709"/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27"/>
        <w:ind w:firstLine="709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Расходная часть бюджета за </w:t>
      </w:r>
      <w:r>
        <w:rPr>
          <w:sz w:val="28"/>
          <w:szCs w:val="28"/>
          <w:highlight w:val="white"/>
        </w:rPr>
        <w:t xml:space="preserve">январь-март 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026</w:t>
      </w:r>
      <w:r>
        <w:rPr>
          <w:sz w:val="28"/>
          <w:szCs w:val="28"/>
          <w:highlight w:val="white"/>
        </w:rPr>
        <w:t xml:space="preserve"> года по источникам финансирования в разрезе главных распорядителей бюджетных средств исполнена следующим образом.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27"/>
        <w:ind w:firstLine="709"/>
        <w:spacing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1127"/>
        <w:spacing w:line="240" w:lineRule="auto"/>
        <w:tabs>
          <w:tab w:val="num" w:pos="720" w:leader="none"/>
        </w:tabs>
        <w:rPr>
          <w:b/>
          <w:sz w:val="28"/>
          <w:szCs w:val="28"/>
          <w:highlight w:val="none"/>
        </w:rPr>
      </w:pPr>
      <w:r>
        <w:rPr>
          <w:b/>
          <w:color w:val="ff0000"/>
          <w:sz w:val="28"/>
          <w:szCs w:val="28"/>
        </w:rPr>
        <w:tab/>
      </w:r>
      <w:r>
        <w:rPr>
          <w:b/>
          <w:sz w:val="28"/>
          <w:szCs w:val="28"/>
          <w:highlight w:val="none"/>
        </w:rPr>
        <w:t xml:space="preserve">2.1. Исполнение</w:t>
      </w:r>
      <w:r>
        <w:rPr>
          <w:sz w:val="28"/>
          <w:szCs w:val="28"/>
          <w:highlight w:val="none"/>
        </w:rPr>
        <w:t xml:space="preserve"> </w:t>
      </w:r>
      <w:r>
        <w:rPr>
          <w:b/>
          <w:sz w:val="28"/>
          <w:szCs w:val="28"/>
          <w:highlight w:val="none"/>
        </w:rPr>
        <w:t xml:space="preserve">расходов местного бюджета:</w:t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pStyle w:val="1127"/>
        <w:spacing w:line="240" w:lineRule="auto"/>
        <w:tabs>
          <w:tab w:val="num" w:pos="720" w:leader="none"/>
        </w:tabs>
        <w:rPr>
          <w:b/>
          <w:color w:val="ff0000"/>
          <w:sz w:val="16"/>
          <w:szCs w:val="16"/>
          <w:highlight w:val="white"/>
        </w:rPr>
      </w:pPr>
      <w:r>
        <w:rPr>
          <w:b/>
          <w:color w:val="ff0000"/>
          <w:sz w:val="16"/>
          <w:szCs w:val="16"/>
          <w:highlight w:val="white"/>
        </w:rPr>
      </w:r>
      <w:r>
        <w:rPr>
          <w:b/>
          <w:color w:val="ff0000"/>
          <w:sz w:val="16"/>
          <w:szCs w:val="16"/>
          <w:highlight w:val="white"/>
        </w:rPr>
      </w:r>
      <w:r>
        <w:rPr>
          <w:b/>
          <w:color w:val="ff0000"/>
          <w:sz w:val="16"/>
          <w:szCs w:val="16"/>
          <w:highlight w:val="white"/>
        </w:rPr>
      </w:r>
    </w:p>
    <w:p>
      <w:pPr>
        <w:pStyle w:val="1127"/>
        <w:ind w:firstLine="709"/>
        <w:spacing w:line="240" w:lineRule="auto"/>
        <w:tabs>
          <w:tab w:val="num" w:pos="720" w:leader="none"/>
        </w:tabs>
        <w:rPr>
          <w:sz w:val="28"/>
          <w:szCs w:val="28"/>
          <w:highlight w:val="none"/>
        </w:rPr>
      </w:pPr>
      <w:r>
        <w:rPr>
          <w:b/>
          <w:sz w:val="28"/>
          <w:szCs w:val="28"/>
          <w:highlight w:val="white"/>
        </w:rPr>
        <w:t xml:space="preserve">выше 95,0 % </w:t>
      </w:r>
      <w:r>
        <w:rPr>
          <w:sz w:val="28"/>
          <w:szCs w:val="28"/>
          <w:highlight w:val="white"/>
        </w:rPr>
        <w:t xml:space="preserve">обеспечено следующими главными распорядителями бюджетных средств: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127"/>
        <w:numPr>
          <w:ilvl w:val="0"/>
          <w:numId w:val="102"/>
        </w:numPr>
        <w:spacing w:line="240" w:lineRule="auto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white"/>
        </w:rPr>
        <w:t xml:space="preserve">управления капитального строительства – </w:t>
      </w:r>
      <w:r>
        <w:rPr>
          <w:color w:val="auto"/>
          <w:sz w:val="28"/>
          <w:szCs w:val="28"/>
          <w:highlight w:val="none"/>
        </w:rPr>
        <w:t xml:space="preserve">на уровне  100</w:t>
      </w:r>
      <w:r>
        <w:rPr>
          <w:color w:val="auto"/>
          <w:sz w:val="28"/>
          <w:szCs w:val="28"/>
          <w:highlight w:val="none"/>
        </w:rPr>
        <w:t xml:space="preserve">%;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27"/>
        <w:numPr>
          <w:ilvl w:val="0"/>
          <w:numId w:val="102"/>
        </w:numPr>
        <w:spacing w:line="240" w:lineRule="auto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департаментом образования – на уровне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99,9</w:t>
      </w:r>
      <w:r>
        <w:rPr>
          <w:color w:val="auto"/>
          <w:sz w:val="28"/>
          <w:szCs w:val="28"/>
          <w:highlight w:val="none"/>
        </w:rPr>
        <w:t xml:space="preserve">%;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numPr>
          <w:ilvl w:val="0"/>
          <w:numId w:val="125"/>
        </w:numPr>
        <w:spacing w:line="240" w:lineRule="atLeast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none"/>
        </w:rPr>
        <w:t xml:space="preserve">департамент дорог и благоустройства </w:t>
      </w:r>
      <w:r>
        <w:rPr>
          <w:color w:val="auto"/>
          <w:sz w:val="28"/>
          <w:highlight w:val="white"/>
        </w:rPr>
        <w:t xml:space="preserve"> – на уровне 99,9%;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02"/>
        </w:numPr>
        <w:spacing w:line="240" w:lineRule="auto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департамент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 градостроительства и архитектуры – на уровне </w:t>
      </w:r>
      <w:r>
        <w:rPr>
          <w:color w:val="auto"/>
          <w:sz w:val="28"/>
          <w:szCs w:val="28"/>
          <w:highlight w:val="white"/>
        </w:rPr>
        <w:t xml:space="preserve"> 99,8%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27"/>
        <w:numPr>
          <w:ilvl w:val="0"/>
          <w:numId w:val="121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 социальной политики – на уровне  99,8%;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27"/>
        <w:numPr>
          <w:ilvl w:val="0"/>
          <w:numId w:val="119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администрацией Свердловского района – на уровне </w:t>
      </w:r>
      <w:r>
        <w:rPr>
          <w:color w:val="auto"/>
          <w:sz w:val="28"/>
          <w:szCs w:val="28"/>
          <w:highlight w:val="white"/>
        </w:rPr>
        <w:t xml:space="preserve"> 99,7%;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20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администрацией города – на уровне 99,7%;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27"/>
        <w:numPr>
          <w:ilvl w:val="0"/>
          <w:numId w:val="124"/>
        </w:numPr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управления по экологии и природопользованию – на уровне </w:t>
      </w:r>
      <w:r>
        <w:rPr>
          <w:color w:val="auto"/>
          <w:sz w:val="28"/>
          <w:szCs w:val="28"/>
          <w:highlight w:val="white"/>
        </w:rPr>
        <w:t xml:space="preserve"> 99,6%;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04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  <w:t xml:space="preserve">управление жилищных отношений 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 99,4%;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27"/>
        <w:numPr>
          <w:ilvl w:val="0"/>
          <w:numId w:val="106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 финансов – на уровне</w:t>
      </w:r>
      <w:r>
        <w:rPr>
          <w:color w:val="auto"/>
          <w:sz w:val="28"/>
          <w:szCs w:val="28"/>
          <w:highlight w:val="white"/>
        </w:rPr>
        <w:t xml:space="preserve"> 99,3%;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26"/>
        </w:numPr>
        <w:spacing w:line="240" w:lineRule="atLeast"/>
        <w:tabs>
          <w:tab w:val="num" w:pos="720" w:leader="none"/>
        </w:tabs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  <w:t xml:space="preserve">к</w:t>
      </w:r>
      <w:r>
        <w:rPr>
          <w:color w:val="auto"/>
          <w:sz w:val="28"/>
          <w:szCs w:val="28"/>
          <w:highlight w:val="none"/>
        </w:rPr>
        <w:t xml:space="preserve">омитет по физкультуре и спорту</w:t>
      </w:r>
      <w:r>
        <w:rPr>
          <w:color w:val="auto"/>
          <w:sz w:val="28"/>
          <w:szCs w:val="28"/>
          <w:highlight w:val="white"/>
        </w:rPr>
        <w:t xml:space="preserve">– на уровне  99,3%</w:t>
      </w:r>
      <w:r>
        <w:rPr>
          <w:color w:val="auto"/>
          <w:sz w:val="28"/>
          <w:szCs w:val="28"/>
          <w:highlight w:val="white"/>
        </w:rPr>
        <w:t xml:space="preserve">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2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  <w:t xml:space="preserve">администрация Ленинского района</w:t>
      </w:r>
      <w:r>
        <w:rPr>
          <w:color w:val="auto"/>
          <w:sz w:val="28"/>
          <w:szCs w:val="28"/>
          <w:highlight w:val="white"/>
        </w:rPr>
        <w:t xml:space="preserve"> – на уровне 99,2</w:t>
      </w:r>
      <w:r>
        <w:rPr>
          <w:color w:val="auto"/>
          <w:sz w:val="28"/>
          <w:szCs w:val="28"/>
          <w:highlight w:val="white"/>
        </w:rPr>
        <w:t xml:space="preserve">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27"/>
        <w:numPr>
          <w:ilvl w:val="0"/>
          <w:numId w:val="123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контрольного департамента – на уровне   99,2%;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05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департамент земельных отношений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 98,8%;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27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администрацией Индустриального района – на уровне  98,7%;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0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  <w:t xml:space="preserve">администрация Орджоникидзевского района </w:t>
      </w:r>
      <w:r>
        <w:rPr>
          <w:color w:val="auto"/>
          <w:sz w:val="28"/>
          <w:szCs w:val="28"/>
          <w:highlight w:val="none"/>
        </w:rPr>
        <w:t xml:space="preserve">– </w:t>
      </w:r>
      <w:r>
        <w:rPr>
          <w:color w:val="auto"/>
          <w:sz w:val="28"/>
          <w:szCs w:val="28"/>
          <w:highlight w:val="white"/>
        </w:rPr>
        <w:t xml:space="preserve">на уровне </w:t>
      </w:r>
      <w:r>
        <w:rPr>
          <w:color w:val="auto"/>
          <w:sz w:val="28"/>
          <w:szCs w:val="28"/>
          <w:highlight w:val="white"/>
        </w:rPr>
        <w:t xml:space="preserve"> 98,6%;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07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  <w:t xml:space="preserve">департамент общественной безопасности </w:t>
      </w:r>
      <w:r>
        <w:rPr>
          <w:color w:val="auto"/>
          <w:sz w:val="28"/>
          <w:szCs w:val="28"/>
          <w:highlight w:val="white"/>
        </w:rPr>
        <w:t xml:space="preserve">– на уровне  97,7%;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07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д</w:t>
      </w:r>
      <w:r>
        <w:rPr>
          <w:color w:val="auto"/>
          <w:sz w:val="28"/>
          <w:szCs w:val="28"/>
          <w:highlight w:val="white"/>
        </w:rPr>
        <w:t xml:space="preserve">епартамент </w:t>
      </w:r>
      <w:r>
        <w:rPr>
          <w:color w:val="auto"/>
          <w:sz w:val="28"/>
          <w:szCs w:val="28"/>
          <w:highlight w:val="white"/>
        </w:rPr>
        <w:t xml:space="preserve">экономики и промышленной политики – на уровне 97,6%;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0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  <w:t xml:space="preserve">администрация Дзержинского района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 97,3%;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0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департамент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 имущественных отношений – на уровне 96,3%;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0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администраци</w:t>
      </w:r>
      <w:r>
        <w:rPr>
          <w:color w:val="auto"/>
          <w:sz w:val="28"/>
          <w:szCs w:val="28"/>
          <w:highlight w:val="white"/>
        </w:rPr>
        <w:t xml:space="preserve">и</w:t>
      </w:r>
      <w:r>
        <w:rPr>
          <w:color w:val="auto"/>
          <w:sz w:val="28"/>
          <w:szCs w:val="28"/>
          <w:highlight w:val="white"/>
        </w:rPr>
        <w:t xml:space="preserve"> Кировского района – на уровне 96,3%;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28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  <w:t xml:space="preserve">департамент культуры и молодежной политики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 95,8%;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0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администраци</w:t>
      </w:r>
      <w:r>
        <w:rPr>
          <w:color w:val="auto"/>
          <w:sz w:val="28"/>
          <w:szCs w:val="28"/>
          <w:highlight w:val="white"/>
        </w:rPr>
        <w:t xml:space="preserve">и</w:t>
      </w:r>
      <w:r>
        <w:rPr>
          <w:color w:val="auto"/>
          <w:sz w:val="28"/>
          <w:szCs w:val="28"/>
          <w:highlight w:val="white"/>
        </w:rPr>
        <w:t xml:space="preserve"> п. Новые Ляды – на уровне  95,5%;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left="0" w:firstLine="0"/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27"/>
        <w:spacing w:line="240" w:lineRule="auto"/>
        <w:tabs>
          <w:tab w:val="num" w:pos="720" w:leader="none"/>
        </w:tabs>
        <w:rPr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highlight w:val="white"/>
        </w:rPr>
        <w:t xml:space="preserve">     </w:t>
      </w:r>
      <w:r>
        <w:rPr>
          <w:b/>
          <w:color w:val="auto"/>
          <w:sz w:val="28"/>
          <w:highlight w:val="white"/>
        </w:rPr>
        <w:t xml:space="preserve"> </w:t>
      </w:r>
      <w:r>
        <w:rPr>
          <w:b/>
          <w:color w:val="auto"/>
          <w:sz w:val="28"/>
          <w:highlight w:val="white"/>
        </w:rPr>
        <w:t xml:space="preserve">  ниже уровня 95,0 %, </w:t>
      </w:r>
      <w:r>
        <w:rPr>
          <w:b/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сложилось исполнение </w:t>
      </w:r>
      <w:r>
        <w:rPr>
          <w:color w:val="auto"/>
          <w:sz w:val="28"/>
          <w:szCs w:val="28"/>
          <w:highlight w:val="white"/>
        </w:rPr>
        <w:t xml:space="preserve">у следующих главных распорядителей бюджетных средств: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27"/>
        <w:ind w:left="360"/>
        <w:spacing w:line="240" w:lineRule="auto"/>
        <w:rPr>
          <w:color w:val="auto"/>
          <w:sz w:val="16"/>
          <w:szCs w:val="16"/>
          <w:highlight w:val="white"/>
        </w:rPr>
      </w:pPr>
      <w:r>
        <w:rPr>
          <w:color w:val="auto"/>
          <w:sz w:val="16"/>
          <w:szCs w:val="16"/>
          <w:highlight w:val="white"/>
        </w:rPr>
      </w:r>
      <w:r>
        <w:rPr>
          <w:color w:val="auto"/>
          <w:sz w:val="16"/>
          <w:szCs w:val="16"/>
          <w:highlight w:val="white"/>
        </w:rPr>
      </w:r>
      <w:r>
        <w:rPr>
          <w:color w:val="auto"/>
          <w:sz w:val="16"/>
          <w:szCs w:val="16"/>
          <w:highlight w:val="white"/>
        </w:rPr>
      </w:r>
    </w:p>
    <w:p>
      <w:pPr>
        <w:pStyle w:val="1127"/>
        <w:numPr>
          <w:ilvl w:val="0"/>
          <w:numId w:val="118"/>
        </w:numPr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департамента жилищно-коммунального хозяйства – на уровне  94,0%;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27"/>
        <w:numPr>
          <w:ilvl w:val="0"/>
          <w:numId w:val="117"/>
        </w:numPr>
        <w:spacing w:line="240" w:lineRule="atLeast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  <w:t xml:space="preserve">контрольно–счетной палаты города – на уровне  93,4%;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17"/>
        </w:numPr>
        <w:spacing w:line="240" w:lineRule="atLeast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администрации Мотовилихинского района – на уровне</w:t>
      </w:r>
      <w:r>
        <w:rPr>
          <w:color w:val="auto"/>
          <w:sz w:val="28"/>
          <w:szCs w:val="28"/>
          <w:highlight w:val="white"/>
        </w:rPr>
        <w:t xml:space="preserve"> 90,3%;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27"/>
        <w:numPr>
          <w:ilvl w:val="0"/>
          <w:numId w:val="108"/>
        </w:numPr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Пермской городской Думы – на уровне  90,1%;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27"/>
        <w:numPr>
          <w:ilvl w:val="0"/>
          <w:numId w:val="10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департамент</w:t>
      </w:r>
      <w:r>
        <w:rPr>
          <w:color w:val="auto"/>
          <w:sz w:val="28"/>
          <w:highlight w:val="white"/>
        </w:rPr>
        <w:t xml:space="preserve">а</w:t>
      </w:r>
      <w:r>
        <w:rPr>
          <w:color w:val="auto"/>
          <w:sz w:val="28"/>
          <w:highlight w:val="white"/>
        </w:rPr>
        <w:t xml:space="preserve"> транспорта – на уровне 85,4%.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27"/>
        <w:spacing w:line="240" w:lineRule="auto"/>
        <w:tabs>
          <w:tab w:val="num" w:pos="900" w:leader="none"/>
        </w:tabs>
        <w:rPr>
          <w:b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 xml:space="preserve">     </w:t>
      </w:r>
      <w:r>
        <w:rPr>
          <w:color w:val="auto"/>
          <w:sz w:val="28"/>
          <w:szCs w:val="28"/>
          <w:highlight w:val="none"/>
        </w:rPr>
        <w:t xml:space="preserve">   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b/>
          <w:color w:val="auto"/>
          <w:sz w:val="28"/>
          <w:szCs w:val="28"/>
          <w:highlight w:val="none"/>
        </w:rPr>
        <w:t xml:space="preserve">2.2. Исполнение расходов по переданным государственным полномочиям: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27"/>
        <w:spacing w:line="240" w:lineRule="auto"/>
        <w:rPr>
          <w:b/>
          <w:color w:val="auto"/>
          <w:sz w:val="16"/>
          <w:szCs w:val="20"/>
          <w:highlight w:val="none"/>
        </w:rPr>
      </w:pPr>
      <w:r>
        <w:rPr>
          <w:b/>
          <w:color w:val="auto"/>
          <w:sz w:val="16"/>
          <w:szCs w:val="20"/>
          <w:highlight w:val="none"/>
        </w:rPr>
      </w:r>
      <w:r>
        <w:rPr>
          <w:b/>
          <w:color w:val="auto"/>
          <w:sz w:val="16"/>
          <w:szCs w:val="20"/>
          <w:highlight w:val="none"/>
        </w:rPr>
      </w:r>
      <w:r>
        <w:rPr>
          <w:b/>
          <w:color w:val="auto"/>
          <w:sz w:val="16"/>
          <w:szCs w:val="20"/>
          <w:highlight w:val="none"/>
        </w:rPr>
      </w:r>
    </w:p>
    <w:p>
      <w:pPr>
        <w:pStyle w:val="1127"/>
        <w:spacing w:line="240" w:lineRule="auto"/>
        <w:tabs>
          <w:tab w:val="num" w:pos="720" w:leader="none"/>
        </w:tabs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  <w:highlight w:val="none"/>
        </w:rPr>
        <w:tab/>
        <w:t xml:space="preserve">       выше 95,0 % </w:t>
      </w:r>
      <w:r>
        <w:rPr>
          <w:color w:val="auto"/>
          <w:sz w:val="28"/>
          <w:szCs w:val="28"/>
        </w:rPr>
        <w:t xml:space="preserve">обеспечено следующими главными распорядителями бюджетных средств: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27"/>
        <w:numPr>
          <w:ilvl w:val="0"/>
          <w:numId w:val="10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департаментом образования – на уровне </w:t>
      </w:r>
      <w:r>
        <w:rPr>
          <w:color w:val="auto"/>
          <w:sz w:val="28"/>
          <w:szCs w:val="28"/>
        </w:rPr>
        <w:t xml:space="preserve"> 99,9%;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0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департамента жилищно-коммунального хозяйства – на уровне  99,9%;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0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департамент транспорта – на уровне 99,9%;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27"/>
        <w:numPr>
          <w:ilvl w:val="0"/>
          <w:numId w:val="10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управлением записи актов гражданского состояния – на уровне  98,7%;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27"/>
        <w:numPr>
          <w:ilvl w:val="0"/>
          <w:numId w:val="109"/>
        </w:numPr>
        <w:spacing w:line="240" w:lineRule="auto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департамент</w:t>
      </w:r>
      <w:r>
        <w:rPr>
          <w:color w:val="auto"/>
          <w:sz w:val="28"/>
          <w:szCs w:val="28"/>
        </w:rPr>
        <w:t xml:space="preserve">а</w:t>
      </w:r>
      <w:r>
        <w:rPr>
          <w:color w:val="auto"/>
          <w:sz w:val="28"/>
          <w:szCs w:val="28"/>
        </w:rPr>
        <w:t xml:space="preserve"> социальной политики – на уровне 98,1%;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1127"/>
        <w:numPr>
          <w:ilvl w:val="0"/>
          <w:numId w:val="130"/>
        </w:numPr>
        <w:spacing w:line="240" w:lineRule="atLeast"/>
        <w:tabs>
          <w:tab w:val="num" w:pos="7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департамента дорог и благоустройства – на уровне  97,4%;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09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управление жилищных отношений 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 97,2%;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27"/>
        <w:numPr>
          <w:ilvl w:val="0"/>
          <w:numId w:val="129"/>
        </w:numPr>
        <w:rPr>
          <w:color w:val="auto" w:themeColor="accent1"/>
          <w:sz w:val="28"/>
          <w:szCs w:val="28"/>
        </w:rPr>
      </w:pPr>
      <w:r>
        <w:rPr>
          <w:color w:val="auto"/>
          <w:sz w:val="28"/>
          <w:szCs w:val="28"/>
        </w:rPr>
        <w:t xml:space="preserve">администраци</w:t>
      </w:r>
      <w:r>
        <w:rPr>
          <w:color w:val="auto"/>
          <w:sz w:val="28"/>
          <w:szCs w:val="28"/>
        </w:rPr>
        <w:t xml:space="preserve">и</w:t>
      </w:r>
      <w:r>
        <w:rPr>
          <w:color w:val="auto"/>
          <w:sz w:val="28"/>
          <w:szCs w:val="28"/>
        </w:rPr>
        <w:t xml:space="preserve"> Свердловского района – </w:t>
      </w:r>
      <w:r>
        <w:rPr>
          <w:color w:val="auto"/>
          <w:sz w:val="28"/>
          <w:szCs w:val="28"/>
        </w:rPr>
        <w:t xml:space="preserve">на уровне</w:t>
      </w:r>
      <w:r>
        <w:rPr>
          <w:color w:val="auto"/>
          <w:sz w:val="28"/>
          <w:szCs w:val="28"/>
        </w:rPr>
        <w:t xml:space="preserve"> 96,0</w:t>
      </w:r>
      <w:r>
        <w:rPr>
          <w:color w:val="auto"/>
          <w:sz w:val="28"/>
          <w:szCs w:val="28"/>
        </w:rPr>
        <w:t xml:space="preserve">%;</w:t>
      </w:r>
      <w:r>
        <w:rPr>
          <w:color w:val="auto" w:themeColor="accent1"/>
          <w:sz w:val="28"/>
          <w:szCs w:val="28"/>
        </w:rPr>
      </w:r>
      <w:r>
        <w:rPr>
          <w:color w:val="auto" w:themeColor="accent1"/>
          <w:sz w:val="28"/>
          <w:szCs w:val="28"/>
        </w:rPr>
      </w:r>
    </w:p>
    <w:p>
      <w:pPr>
        <w:pStyle w:val="1127"/>
        <w:spacing w:line="240" w:lineRule="auto"/>
        <w:tabs>
          <w:tab w:val="num" w:pos="720" w:leader="none"/>
        </w:tabs>
        <w:rPr>
          <w:b/>
          <w:color w:val="auto"/>
          <w:sz w:val="16"/>
        </w:rPr>
      </w:pPr>
      <w:r>
        <w:rPr>
          <w:b/>
          <w:color w:val="auto"/>
          <w:sz w:val="16"/>
        </w:rPr>
      </w:r>
      <w:r>
        <w:rPr>
          <w:b/>
          <w:color w:val="auto"/>
          <w:sz w:val="16"/>
        </w:rPr>
      </w:r>
      <w:r>
        <w:rPr>
          <w:b/>
          <w:color w:val="auto"/>
          <w:sz w:val="16"/>
        </w:rPr>
      </w:r>
    </w:p>
    <w:p>
      <w:pPr>
        <w:pStyle w:val="1127"/>
        <w:spacing w:line="240" w:lineRule="auto"/>
        <w:tabs>
          <w:tab w:val="num" w:pos="720" w:leader="none"/>
        </w:tabs>
        <w:rPr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</w:rPr>
        <w:tab/>
        <w:t xml:space="preserve">     </w:t>
      </w:r>
      <w:r>
        <w:rPr>
          <w:b/>
          <w:color w:val="auto"/>
          <w:sz w:val="28"/>
          <w:szCs w:val="28"/>
        </w:rPr>
        <w:t xml:space="preserve">ниже 95,0 % </w:t>
      </w:r>
      <w:r>
        <w:rPr>
          <w:color w:val="auto"/>
          <w:sz w:val="28"/>
          <w:szCs w:val="28"/>
        </w:rPr>
        <w:t xml:space="preserve">сложилось исполнение у следующих главных распорядителей бюджетных средств: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spacing w:line="240" w:lineRule="auto"/>
        <w:tabs>
          <w:tab w:val="num" w:pos="720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numPr>
          <w:ilvl w:val="0"/>
          <w:numId w:val="10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  <w:t xml:space="preserve">администрации Индустриального района – на уровне  94,9%;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0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  <w:t xml:space="preserve">управления по экологии и природопользованию – на уровне </w:t>
      </w:r>
      <w:r>
        <w:rPr>
          <w:color w:val="auto"/>
          <w:sz w:val="28"/>
          <w:szCs w:val="28"/>
        </w:rPr>
        <w:t xml:space="preserve"> 93,1%;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27"/>
        <w:numPr>
          <w:ilvl w:val="0"/>
          <w:numId w:val="10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администрации Дзержинского района – на уровне 89,7%;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0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highlight w:val="none"/>
        </w:rPr>
      </w:r>
      <w:r>
        <w:rPr>
          <w:color w:val="auto"/>
          <w:sz w:val="28"/>
          <w:szCs w:val="28"/>
        </w:rPr>
        <w:t xml:space="preserve">администрации Орджоникидзевского района – на уровне 88,2%;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0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</w:rPr>
      </w:r>
      <w:r>
        <w:rPr>
          <w:color w:val="auto"/>
          <w:sz w:val="28"/>
          <w:szCs w:val="28"/>
        </w:rPr>
        <w:t xml:space="preserve">администрации Кировского района – на уровне 85,4%;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27"/>
        <w:numPr>
          <w:ilvl w:val="0"/>
          <w:numId w:val="131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администрации п. Новые Ляды – на уровне</w:t>
      </w:r>
      <w:r>
        <w:rPr>
          <w:color w:val="auto"/>
          <w:sz w:val="28"/>
          <w:szCs w:val="28"/>
        </w:rPr>
        <w:t xml:space="preserve">  82,0%;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27"/>
        <w:numPr>
          <w:ilvl w:val="0"/>
          <w:numId w:val="11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администрации Мотовилихинского района – на уровне 70,6%;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27"/>
        <w:numPr>
          <w:ilvl w:val="0"/>
          <w:numId w:val="111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</w:t>
      </w:r>
      <w:r>
        <w:rPr>
          <w:color w:val="auto"/>
          <w:sz w:val="28"/>
          <w:szCs w:val="28"/>
        </w:rPr>
        <w:t xml:space="preserve">дминистрации Ленинского района – на уровне  64,8%;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10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highlight w:val="none"/>
        </w:rPr>
        <w:t xml:space="preserve">контрольный департамент</w:t>
      </w:r>
      <w:r>
        <w:rPr>
          <w:color w:val="auto"/>
          <w:sz w:val="28"/>
          <w:szCs w:val="28"/>
        </w:rPr>
        <w:t xml:space="preserve">– на уровне 25,1 %.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firstLine="0"/>
        <w:spacing w:line="240" w:lineRule="atLeast"/>
        <w:tabs>
          <w:tab w:val="num" w:pos="7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27"/>
        <w:spacing w:line="240" w:lineRule="auto"/>
        <w:tabs>
          <w:tab w:val="num" w:pos="720" w:leader="none"/>
        </w:tabs>
        <w:rPr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</w:rPr>
        <w:tab/>
      </w:r>
      <w:r>
        <w:rPr>
          <w:b/>
          <w:color w:val="auto"/>
          <w:sz w:val="28"/>
          <w:szCs w:val="28"/>
          <w:highlight w:val="none"/>
        </w:rPr>
        <w:tab/>
      </w:r>
      <w:r>
        <w:rPr>
          <w:b/>
          <w:color w:val="auto"/>
          <w:sz w:val="28"/>
          <w:szCs w:val="28"/>
          <w:highlight w:val="none"/>
        </w:rPr>
        <w:t xml:space="preserve">2.3. Исполнение расходов по средствам, переданным из краевого бюджета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27"/>
        <w:spacing w:line="240" w:lineRule="auto"/>
        <w:rPr>
          <w:b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         на выполнение полномочий городского округа:</w:t>
      </w:r>
      <w:r>
        <w:rPr>
          <w:b/>
          <w:color w:val="auto"/>
          <w:sz w:val="28"/>
          <w:szCs w:val="28"/>
          <w:highlight w:val="none"/>
        </w:rPr>
      </w:r>
      <w:r>
        <w:rPr>
          <w:b/>
          <w:color w:val="auto"/>
          <w:sz w:val="28"/>
          <w:szCs w:val="28"/>
          <w:highlight w:val="none"/>
        </w:rPr>
      </w:r>
    </w:p>
    <w:p>
      <w:pPr>
        <w:pStyle w:val="1127"/>
        <w:spacing w:line="240" w:lineRule="auto"/>
        <w:tabs>
          <w:tab w:val="num" w:pos="720" w:leader="none"/>
        </w:tabs>
        <w:rPr>
          <w:b/>
          <w:color w:val="auto"/>
          <w:sz w:val="16"/>
          <w:szCs w:val="20"/>
        </w:rPr>
      </w:pPr>
      <w:r>
        <w:rPr>
          <w:b/>
          <w:color w:val="auto"/>
          <w:sz w:val="16"/>
          <w:szCs w:val="20"/>
        </w:rPr>
      </w:r>
      <w:r>
        <w:rPr>
          <w:b/>
          <w:color w:val="auto"/>
          <w:sz w:val="16"/>
          <w:szCs w:val="20"/>
        </w:rPr>
      </w:r>
      <w:r>
        <w:rPr>
          <w:b/>
          <w:color w:val="auto"/>
          <w:sz w:val="16"/>
          <w:szCs w:val="20"/>
        </w:rPr>
      </w:r>
    </w:p>
    <w:p>
      <w:pPr>
        <w:pStyle w:val="1127"/>
        <w:spacing w:line="240" w:lineRule="auto"/>
        <w:tabs>
          <w:tab w:val="num" w:pos="720" w:leader="none"/>
        </w:tabs>
        <w:rPr>
          <w:sz w:val="28"/>
          <w:szCs w:val="28"/>
          <w:highlight w:val="none"/>
        </w:rPr>
      </w:pPr>
      <w:r>
        <w:rPr>
          <w:b/>
          <w:color w:val="auto"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 xml:space="preserve">выше 95,0 % </w:t>
      </w:r>
      <w:r>
        <w:rPr>
          <w:sz w:val="28"/>
          <w:szCs w:val="28"/>
        </w:rPr>
        <w:t xml:space="preserve">обеспечено следующими главными распорядителями бюджетных средств: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127"/>
        <w:numPr>
          <w:ilvl w:val="0"/>
          <w:numId w:val="113"/>
        </w:numPr>
        <w:rPr>
          <w:sz w:val="28"/>
          <w:szCs w:val="28"/>
        </w:rPr>
      </w:pPr>
      <w:r>
        <w:rPr>
          <w:sz w:val="28"/>
          <w:szCs w:val="28"/>
        </w:rPr>
        <w:t xml:space="preserve">управлени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капитального строительства – на уровне 100,0 %;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13"/>
        </w:numPr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департаментом образования</w:t>
      </w:r>
      <w:r>
        <w:rPr>
          <w:sz w:val="28"/>
          <w:szCs w:val="28"/>
        </w:rPr>
        <w:t xml:space="preserve">– на уровне 100,0 %;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27"/>
        <w:numPr>
          <w:ilvl w:val="0"/>
          <w:numId w:val="114"/>
        </w:num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департамент</w:t>
      </w:r>
      <w:r>
        <w:rPr>
          <w:sz w:val="28"/>
          <w:szCs w:val="28"/>
          <w:highlight w:val="white"/>
        </w:rPr>
        <w:t xml:space="preserve">ом</w:t>
      </w:r>
      <w:r>
        <w:rPr>
          <w:sz w:val="28"/>
          <w:szCs w:val="28"/>
          <w:highlight w:val="white"/>
        </w:rPr>
        <w:t xml:space="preserve"> дорог и благоустройства – на уровне 100,0</w:t>
      </w:r>
      <w:r>
        <w:rPr>
          <w:sz w:val="28"/>
          <w:szCs w:val="28"/>
          <w:highlight w:val="white"/>
        </w:rPr>
        <w:t xml:space="preserve">%;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27"/>
        <w:numPr>
          <w:ilvl w:val="0"/>
          <w:numId w:val="115"/>
        </w:numPr>
        <w:spacing w:line="240" w:lineRule="auto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департамент</w:t>
      </w:r>
      <w:r>
        <w:rPr>
          <w:color w:val="auto"/>
          <w:sz w:val="28"/>
          <w:szCs w:val="28"/>
        </w:rPr>
        <w:t xml:space="preserve">а</w:t>
      </w:r>
      <w:r>
        <w:rPr>
          <w:color w:val="auto"/>
          <w:sz w:val="28"/>
          <w:szCs w:val="28"/>
        </w:rPr>
        <w:t xml:space="preserve"> социальной политики – на уровне 100,0%;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numPr>
          <w:ilvl w:val="0"/>
          <w:numId w:val="132"/>
        </w:numPr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департамент транспорта – на уровне 100,0%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16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  <w:t xml:space="preserve">департамент общественной безопасности </w:t>
      </w:r>
      <w:r>
        <w:rPr>
          <w:color w:val="auto"/>
          <w:sz w:val="28"/>
          <w:szCs w:val="28"/>
          <w:highlight w:val="white"/>
        </w:rPr>
        <w:t xml:space="preserve">– на уровне  99,9%;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27"/>
        <w:numPr>
          <w:ilvl w:val="0"/>
          <w:numId w:val="113"/>
        </w:numPr>
        <w:rPr>
          <w:sz w:val="28"/>
          <w:szCs w:val="28"/>
        </w:rPr>
      </w:pPr>
      <w:r>
        <w:rPr>
          <w:sz w:val="28"/>
          <w:szCs w:val="28"/>
        </w:rPr>
        <w:t xml:space="preserve">управлением жилищных отношений – на уровне 97,2</w:t>
      </w:r>
      <w:r>
        <w:rPr>
          <w:sz w:val="28"/>
          <w:szCs w:val="28"/>
        </w:rPr>
        <w:t xml:space="preserve">%.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tabs>
          <w:tab w:val="num" w:pos="720" w:leader="none"/>
        </w:tabs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spacing w:line="240" w:lineRule="auto"/>
        <w:tabs>
          <w:tab w:val="num" w:pos="7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238" w:right="567" w:bottom="249" w:left="794" w:header="709" w:footer="482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jc w:val="right"/>
    </w:pPr>
    <w:fldSimple w:instr="PAGE \* MERGEFORMAT">
      <w:r>
        <w:t xml:space="preserve">1</w:t>
      </w:r>
    </w:fldSimple>
    <w:r/>
    <w:r/>
  </w:p>
  <w:p>
    <w:pPr>
      <w:pStyle w:val="97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3"/>
      <w:rPr>
        <w:rStyle w:val="1135"/>
        <w:sz w:val="23"/>
        <w:szCs w:val="23"/>
      </w:rPr>
      <w:framePr w:wrap="around" w:vAnchor="text" w:hAnchor="margin" w:xAlign="right" w:y="1"/>
    </w:pPr>
    <w:r>
      <w:rPr>
        <w:rStyle w:val="1135"/>
        <w:sz w:val="23"/>
        <w:szCs w:val="23"/>
      </w:rPr>
      <w:fldChar w:fldCharType="begin"/>
    </w:r>
    <w:r>
      <w:rPr>
        <w:rStyle w:val="1135"/>
        <w:sz w:val="23"/>
        <w:szCs w:val="23"/>
      </w:rPr>
      <w:instrText xml:space="preserve">PAGE  </w:instrText>
    </w:r>
    <w:r>
      <w:rPr>
        <w:rStyle w:val="1135"/>
        <w:sz w:val="23"/>
        <w:szCs w:val="23"/>
      </w:rPr>
      <w:fldChar w:fldCharType="end"/>
    </w:r>
    <w:r>
      <w:rPr>
        <w:rStyle w:val="1135"/>
        <w:sz w:val="23"/>
        <w:szCs w:val="23"/>
      </w:rPr>
    </w:r>
    <w:r>
      <w:rPr>
        <w:rStyle w:val="1135"/>
        <w:sz w:val="23"/>
        <w:szCs w:val="23"/>
      </w:rPr>
    </w:r>
  </w:p>
  <w:p>
    <w:pPr>
      <w:pStyle w:val="1133"/>
      <w:ind w:right="360"/>
      <w:rPr>
        <w:sz w:val="23"/>
        <w:szCs w:val="23"/>
      </w:rPr>
    </w:pPr>
    <w:r>
      <w:rPr>
        <w:sz w:val="23"/>
        <w:szCs w:val="23"/>
      </w:rPr>
    </w:r>
    <w:r>
      <w:rPr>
        <w:sz w:val="23"/>
        <w:szCs w:val="23"/>
      </w:rPr>
    </w:r>
    <w:r>
      <w:rPr>
        <w:sz w:val="23"/>
        <w:szCs w:val="23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41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313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85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57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29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01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73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45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171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firstLine="0"/>
        <w:tabs>
          <w:tab w:val="num" w:pos="1724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25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7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5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69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3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1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5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2055" w:hanging="1335"/>
      </w:pPr>
      <w:rPr>
        <w:b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15" w:hanging="1335"/>
      </w:pPr>
      <w:rPr>
        <w:b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75" w:hanging="1335"/>
      </w:pPr>
      <w:rPr>
        <w:b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135" w:hanging="1335"/>
      </w:pPr>
      <w:rPr>
        <w:b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95" w:hanging="1335"/>
      </w:pPr>
      <w:rPr>
        <w:b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55" w:hanging="1335"/>
      </w:pPr>
      <w:rPr>
        <w:b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15" w:hanging="1335"/>
      </w:pPr>
      <w:rPr>
        <w:b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75" w:hanging="1335"/>
      </w:pPr>
      <w:rPr>
        <w:b/>
        <w:color w:val="00000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26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64" w:hanging="284"/>
        <w:tabs>
          <w:tab w:val="num" w:pos="464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4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6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0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2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  <w:tabs>
          <w:tab w:val="num" w:pos="50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0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0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num w:numId="1">
    <w:abstractNumId w:val="16"/>
  </w:num>
  <w:num w:numId="2">
    <w:abstractNumId w:val="31"/>
  </w:num>
  <w:num w:numId="3">
    <w:abstractNumId w:val="8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3"/>
  </w:num>
  <w:num w:numId="6">
    <w:abstractNumId w:val="8"/>
  </w:num>
  <w:num w:numId="7">
    <w:abstractNumId w:val="8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5"/>
  </w:num>
  <w:num w:numId="10">
    <w:abstractNumId w:val="12"/>
  </w:num>
  <w:num w:numId="11">
    <w:abstractNumId w:val="26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27"/>
  </w:num>
  <w:num w:numId="15">
    <w:abstractNumId w:val="29"/>
  </w:num>
  <w:num w:numId="16">
    <w:abstractNumId w:val="14"/>
  </w:num>
  <w:num w:numId="17">
    <w:abstractNumId w:val="6"/>
  </w:num>
  <w:num w:numId="18">
    <w:abstractNumId w:val="17"/>
  </w:num>
  <w:num w:numId="19">
    <w:abstractNumId w:val="11"/>
  </w:num>
  <w:num w:numId="20">
    <w:abstractNumId w:val="23"/>
  </w:num>
  <w:num w:numId="21">
    <w:abstractNumId w:val="20"/>
  </w:num>
  <w:num w:numId="22">
    <w:abstractNumId w:val="15"/>
  </w:num>
  <w:num w:numId="23">
    <w:abstractNumId w:val="1"/>
  </w:num>
  <w:num w:numId="24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1"/>
  </w:num>
  <w:num w:numId="27">
    <w:abstractNumId w:val="30"/>
  </w:num>
  <w:num w:numId="28">
    <w:abstractNumId w:val="5"/>
  </w:num>
  <w:num w:numId="29">
    <w:abstractNumId w:val="19"/>
  </w:num>
  <w:num w:numId="30">
    <w:abstractNumId w:val="10"/>
  </w:num>
  <w:num w:numId="31">
    <w:abstractNumId w:val="8"/>
  </w:num>
  <w:num w:numId="32">
    <w:abstractNumId w:val="18"/>
  </w:num>
  <w:num w:numId="33">
    <w:abstractNumId w:val="2"/>
  </w:num>
  <w:num w:numId="34">
    <w:abstractNumId w:val="7"/>
  </w:num>
  <w:num w:numId="35">
    <w:abstractNumId w:val="22"/>
  </w:num>
  <w:num w:numId="36">
    <w:abstractNumId w:val="16"/>
  </w:num>
  <w:num w:numId="37">
    <w:abstractNumId w:val="28"/>
  </w:num>
  <w:num w:numId="38">
    <w:abstractNumId w:val="3"/>
  </w:num>
  <w:num w:numId="39">
    <w:abstractNumId w:val="32"/>
  </w:num>
  <w:num w:numId="40">
    <w:abstractNumId w:val="33"/>
  </w:num>
  <w:num w:numId="41">
    <w:abstractNumId w:val="34"/>
  </w:num>
  <w:num w:numId="42">
    <w:abstractNumId w:val="35"/>
  </w:num>
  <w:num w:numId="43">
    <w:abstractNumId w:val="36"/>
  </w:num>
  <w:num w:numId="44">
    <w:abstractNumId w:val="37"/>
  </w:num>
  <w:num w:numId="45">
    <w:abstractNumId w:val="38"/>
  </w:num>
  <w:num w:numId="46">
    <w:abstractNumId w:val="39"/>
  </w:num>
  <w:num w:numId="47">
    <w:abstractNumId w:val="40"/>
  </w:num>
  <w:num w:numId="48">
    <w:abstractNumId w:val="41"/>
  </w:num>
  <w:num w:numId="49">
    <w:abstractNumId w:val="42"/>
  </w:num>
  <w:num w:numId="50">
    <w:abstractNumId w:val="43"/>
  </w:num>
  <w:num w:numId="51">
    <w:abstractNumId w:val="44"/>
  </w:num>
  <w:num w:numId="52">
    <w:abstractNumId w:val="45"/>
  </w:num>
  <w:num w:numId="53">
    <w:abstractNumId w:val="46"/>
  </w:num>
  <w:num w:numId="54">
    <w:abstractNumId w:val="47"/>
  </w:num>
  <w:num w:numId="55">
    <w:abstractNumId w:val="48"/>
  </w:num>
  <w:num w:numId="56">
    <w:abstractNumId w:val="49"/>
  </w:num>
  <w:num w:numId="57">
    <w:abstractNumId w:val="50"/>
  </w:num>
  <w:num w:numId="58">
    <w:abstractNumId w:val="51"/>
  </w:num>
  <w:num w:numId="59">
    <w:abstractNumId w:val="52"/>
  </w:num>
  <w:num w:numId="60">
    <w:abstractNumId w:val="53"/>
  </w:num>
  <w:num w:numId="61">
    <w:abstractNumId w:val="54"/>
  </w:num>
  <w:num w:numId="62">
    <w:abstractNumId w:val="55"/>
  </w:num>
  <w:num w:numId="63">
    <w:abstractNumId w:val="56"/>
  </w:num>
  <w:num w:numId="64">
    <w:abstractNumId w:val="57"/>
  </w:num>
  <w:num w:numId="65">
    <w:abstractNumId w:val="58"/>
  </w:num>
  <w:num w:numId="66">
    <w:abstractNumId w:val="59"/>
  </w:num>
  <w:num w:numId="67">
    <w:abstractNumId w:val="60"/>
  </w:num>
  <w:num w:numId="68">
    <w:abstractNumId w:val="61"/>
  </w:num>
  <w:num w:numId="69">
    <w:abstractNumId w:val="62"/>
  </w:num>
  <w:num w:numId="70">
    <w:abstractNumId w:val="63"/>
  </w:num>
  <w:num w:numId="71">
    <w:abstractNumId w:val="64"/>
  </w:num>
  <w:num w:numId="72">
    <w:abstractNumId w:val="65"/>
  </w:num>
  <w:num w:numId="73">
    <w:abstractNumId w:val="66"/>
  </w:num>
  <w:num w:numId="74">
    <w:abstractNumId w:val="67"/>
  </w:num>
  <w:num w:numId="75">
    <w:abstractNumId w:val="68"/>
  </w:num>
  <w:num w:numId="76">
    <w:abstractNumId w:val="69"/>
  </w:num>
  <w:num w:numId="77">
    <w:abstractNumId w:val="70"/>
  </w:num>
  <w:num w:numId="78">
    <w:abstractNumId w:val="71"/>
  </w:num>
  <w:num w:numId="79">
    <w:abstractNumId w:val="72"/>
  </w:num>
  <w:num w:numId="80">
    <w:abstractNumId w:val="73"/>
  </w:num>
  <w:num w:numId="81">
    <w:abstractNumId w:val="74"/>
  </w:num>
  <w:num w:numId="82">
    <w:abstractNumId w:val="75"/>
  </w:num>
  <w:num w:numId="83">
    <w:abstractNumId w:val="76"/>
  </w:num>
  <w:num w:numId="84">
    <w:abstractNumId w:val="77"/>
  </w:num>
  <w:num w:numId="85">
    <w:abstractNumId w:val="78"/>
  </w:num>
  <w:num w:numId="86">
    <w:abstractNumId w:val="79"/>
  </w:num>
  <w:num w:numId="87">
    <w:abstractNumId w:val="80"/>
  </w:num>
  <w:num w:numId="88">
    <w:abstractNumId w:val="81"/>
  </w:num>
  <w:num w:numId="89">
    <w:abstractNumId w:val="82"/>
  </w:num>
  <w:num w:numId="90">
    <w:abstractNumId w:val="83"/>
  </w:num>
  <w:num w:numId="91">
    <w:abstractNumId w:val="84"/>
  </w:num>
  <w:num w:numId="92">
    <w:abstractNumId w:val="85"/>
  </w:num>
  <w:num w:numId="93">
    <w:abstractNumId w:val="86"/>
  </w:num>
  <w:num w:numId="94">
    <w:abstractNumId w:val="87"/>
  </w:num>
  <w:num w:numId="95">
    <w:abstractNumId w:val="88"/>
  </w:num>
  <w:num w:numId="96">
    <w:abstractNumId w:val="89"/>
  </w:num>
  <w:num w:numId="97">
    <w:abstractNumId w:val="90"/>
  </w:num>
  <w:num w:numId="98">
    <w:abstractNumId w:val="91"/>
  </w:num>
  <w:num w:numId="99">
    <w:abstractNumId w:val="92"/>
  </w:num>
  <w:num w:numId="100">
    <w:abstractNumId w:val="93"/>
  </w:num>
  <w:num w:numId="101">
    <w:abstractNumId w:val="94"/>
  </w:num>
  <w:num w:numId="102">
    <w:abstractNumId w:val="95"/>
  </w:num>
  <w:num w:numId="103">
    <w:abstractNumId w:val="96"/>
  </w:num>
  <w:num w:numId="104">
    <w:abstractNumId w:val="97"/>
  </w:num>
  <w:num w:numId="105">
    <w:abstractNumId w:val="98"/>
  </w:num>
  <w:num w:numId="106">
    <w:abstractNumId w:val="99"/>
  </w:num>
  <w:num w:numId="107">
    <w:abstractNumId w:val="100"/>
  </w:num>
  <w:num w:numId="108">
    <w:abstractNumId w:val="101"/>
  </w:num>
  <w:num w:numId="109">
    <w:abstractNumId w:val="102"/>
  </w:num>
  <w:num w:numId="110">
    <w:abstractNumId w:val="103"/>
  </w:num>
  <w:num w:numId="111">
    <w:abstractNumId w:val="104"/>
  </w:num>
  <w:num w:numId="112">
    <w:abstractNumId w:val="105"/>
  </w:num>
  <w:num w:numId="113">
    <w:abstractNumId w:val="106"/>
  </w:num>
  <w:num w:numId="114">
    <w:abstractNumId w:val="107"/>
  </w:num>
  <w:num w:numId="115">
    <w:abstractNumId w:val="108"/>
  </w:num>
  <w:num w:numId="116">
    <w:abstractNumId w:val="109"/>
  </w:num>
  <w:num w:numId="117">
    <w:abstractNumId w:val="110"/>
  </w:num>
  <w:num w:numId="118">
    <w:abstractNumId w:val="111"/>
  </w:num>
  <w:num w:numId="119">
    <w:abstractNumId w:val="112"/>
  </w:num>
  <w:num w:numId="120">
    <w:abstractNumId w:val="113"/>
  </w:num>
  <w:num w:numId="121">
    <w:abstractNumId w:val="114"/>
  </w:num>
  <w:num w:numId="122">
    <w:abstractNumId w:val="115"/>
  </w:num>
  <w:num w:numId="123">
    <w:abstractNumId w:val="116"/>
  </w:num>
  <w:num w:numId="124">
    <w:abstractNumId w:val="117"/>
  </w:num>
  <w:num w:numId="125">
    <w:abstractNumId w:val="118"/>
  </w:num>
  <w:num w:numId="126">
    <w:abstractNumId w:val="119"/>
  </w:num>
  <w:num w:numId="127">
    <w:abstractNumId w:val="120"/>
  </w:num>
  <w:num w:numId="128">
    <w:abstractNumId w:val="121"/>
  </w:num>
  <w:num w:numId="129">
    <w:abstractNumId w:val="122"/>
  </w:num>
  <w:num w:numId="130">
    <w:abstractNumId w:val="123"/>
  </w:num>
  <w:num w:numId="131">
    <w:abstractNumId w:val="124"/>
  </w:num>
  <w:num w:numId="132">
    <w:abstractNumId w:val="1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49">
    <w:name w:val="Heading 1"/>
    <w:basedOn w:val="1127"/>
    <w:next w:val="1127"/>
    <w:link w:val="95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50">
    <w:name w:val="Heading 1 Char"/>
    <w:link w:val="949"/>
    <w:uiPriority w:val="9"/>
    <w:rPr>
      <w:rFonts w:ascii="Arial" w:hAnsi="Arial" w:eastAsia="Arial" w:cs="Arial"/>
      <w:sz w:val="40"/>
      <w:szCs w:val="40"/>
    </w:rPr>
  </w:style>
  <w:style w:type="paragraph" w:styleId="951">
    <w:name w:val="Heading 2"/>
    <w:basedOn w:val="1127"/>
    <w:next w:val="1127"/>
    <w:link w:val="95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52">
    <w:name w:val="Heading 2 Char"/>
    <w:link w:val="951"/>
    <w:uiPriority w:val="9"/>
    <w:rPr>
      <w:rFonts w:ascii="Arial" w:hAnsi="Arial" w:eastAsia="Arial" w:cs="Arial"/>
      <w:sz w:val="34"/>
    </w:rPr>
  </w:style>
  <w:style w:type="paragraph" w:styleId="953">
    <w:name w:val="Heading 3"/>
    <w:basedOn w:val="1127"/>
    <w:next w:val="1127"/>
    <w:link w:val="9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54">
    <w:name w:val="Heading 3 Char"/>
    <w:link w:val="953"/>
    <w:uiPriority w:val="9"/>
    <w:rPr>
      <w:rFonts w:ascii="Arial" w:hAnsi="Arial" w:eastAsia="Arial" w:cs="Arial"/>
      <w:sz w:val="30"/>
      <w:szCs w:val="30"/>
    </w:rPr>
  </w:style>
  <w:style w:type="paragraph" w:styleId="955">
    <w:name w:val="Heading 4"/>
    <w:basedOn w:val="1127"/>
    <w:next w:val="1127"/>
    <w:link w:val="9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56">
    <w:name w:val="Heading 4 Char"/>
    <w:link w:val="955"/>
    <w:uiPriority w:val="9"/>
    <w:rPr>
      <w:rFonts w:ascii="Arial" w:hAnsi="Arial" w:eastAsia="Arial" w:cs="Arial"/>
      <w:b/>
      <w:bCs/>
      <w:sz w:val="26"/>
      <w:szCs w:val="26"/>
    </w:rPr>
  </w:style>
  <w:style w:type="paragraph" w:styleId="957">
    <w:name w:val="Heading 5"/>
    <w:basedOn w:val="1127"/>
    <w:next w:val="1127"/>
    <w:link w:val="95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58">
    <w:name w:val="Heading 5 Char"/>
    <w:link w:val="957"/>
    <w:uiPriority w:val="9"/>
    <w:rPr>
      <w:rFonts w:ascii="Arial" w:hAnsi="Arial" w:eastAsia="Arial" w:cs="Arial"/>
      <w:b/>
      <w:bCs/>
      <w:sz w:val="24"/>
      <w:szCs w:val="24"/>
    </w:rPr>
  </w:style>
  <w:style w:type="paragraph" w:styleId="959">
    <w:name w:val="Heading 6"/>
    <w:basedOn w:val="1127"/>
    <w:next w:val="1127"/>
    <w:link w:val="9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60">
    <w:name w:val="Heading 6 Char"/>
    <w:link w:val="959"/>
    <w:uiPriority w:val="9"/>
    <w:rPr>
      <w:rFonts w:ascii="Arial" w:hAnsi="Arial" w:eastAsia="Arial" w:cs="Arial"/>
      <w:b/>
      <w:bCs/>
      <w:sz w:val="22"/>
      <w:szCs w:val="22"/>
    </w:rPr>
  </w:style>
  <w:style w:type="paragraph" w:styleId="961">
    <w:name w:val="Heading 7"/>
    <w:basedOn w:val="1127"/>
    <w:next w:val="1127"/>
    <w:link w:val="9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62">
    <w:name w:val="Heading 7 Char"/>
    <w:link w:val="9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63">
    <w:name w:val="Heading 8"/>
    <w:basedOn w:val="1127"/>
    <w:next w:val="1127"/>
    <w:link w:val="9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64">
    <w:name w:val="Heading 8 Char"/>
    <w:link w:val="963"/>
    <w:uiPriority w:val="9"/>
    <w:rPr>
      <w:rFonts w:ascii="Arial" w:hAnsi="Arial" w:eastAsia="Arial" w:cs="Arial"/>
      <w:i/>
      <w:iCs/>
      <w:sz w:val="22"/>
      <w:szCs w:val="22"/>
    </w:rPr>
  </w:style>
  <w:style w:type="paragraph" w:styleId="965">
    <w:name w:val="Heading 9"/>
    <w:basedOn w:val="1127"/>
    <w:next w:val="1127"/>
    <w:link w:val="9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66">
    <w:name w:val="Heading 9 Char"/>
    <w:link w:val="965"/>
    <w:uiPriority w:val="9"/>
    <w:rPr>
      <w:rFonts w:ascii="Arial" w:hAnsi="Arial" w:eastAsia="Arial" w:cs="Arial"/>
      <w:i/>
      <w:iCs/>
      <w:sz w:val="21"/>
      <w:szCs w:val="21"/>
    </w:rPr>
  </w:style>
  <w:style w:type="paragraph" w:styleId="967">
    <w:name w:val="List Paragraph"/>
    <w:basedOn w:val="1127"/>
    <w:uiPriority w:val="34"/>
    <w:qFormat/>
    <w:pPr>
      <w:contextualSpacing/>
      <w:ind w:left="720"/>
    </w:pPr>
  </w:style>
  <w:style w:type="paragraph" w:styleId="968">
    <w:name w:val="No Spacing"/>
    <w:uiPriority w:val="1"/>
    <w:qFormat/>
    <w:pPr>
      <w:spacing w:before="0" w:after="0" w:line="240" w:lineRule="auto"/>
    </w:pPr>
  </w:style>
  <w:style w:type="paragraph" w:styleId="969">
    <w:name w:val="Title"/>
    <w:basedOn w:val="1127"/>
    <w:next w:val="1127"/>
    <w:link w:val="9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70">
    <w:name w:val="Title Char"/>
    <w:link w:val="969"/>
    <w:uiPriority w:val="10"/>
    <w:rPr>
      <w:sz w:val="48"/>
      <w:szCs w:val="48"/>
    </w:rPr>
  </w:style>
  <w:style w:type="paragraph" w:styleId="971">
    <w:name w:val="Subtitle"/>
    <w:basedOn w:val="1127"/>
    <w:next w:val="1127"/>
    <w:link w:val="972"/>
    <w:uiPriority w:val="11"/>
    <w:qFormat/>
    <w:pPr>
      <w:spacing w:before="200" w:after="200"/>
    </w:pPr>
    <w:rPr>
      <w:sz w:val="24"/>
      <w:szCs w:val="24"/>
    </w:rPr>
  </w:style>
  <w:style w:type="character" w:styleId="972">
    <w:name w:val="Subtitle Char"/>
    <w:link w:val="971"/>
    <w:uiPriority w:val="11"/>
    <w:rPr>
      <w:sz w:val="24"/>
      <w:szCs w:val="24"/>
    </w:rPr>
  </w:style>
  <w:style w:type="paragraph" w:styleId="973">
    <w:name w:val="Quote"/>
    <w:basedOn w:val="1127"/>
    <w:next w:val="1127"/>
    <w:link w:val="974"/>
    <w:uiPriority w:val="29"/>
    <w:qFormat/>
    <w:pPr>
      <w:ind w:left="720" w:right="720"/>
    </w:pPr>
    <w:rPr>
      <w:i/>
    </w:rPr>
  </w:style>
  <w:style w:type="character" w:styleId="974">
    <w:name w:val="Quote Char"/>
    <w:link w:val="973"/>
    <w:uiPriority w:val="29"/>
    <w:rPr>
      <w:i/>
    </w:rPr>
  </w:style>
  <w:style w:type="paragraph" w:styleId="975">
    <w:name w:val="Intense Quote"/>
    <w:basedOn w:val="1127"/>
    <w:next w:val="1127"/>
    <w:link w:val="97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76">
    <w:name w:val="Intense Quote Char"/>
    <w:link w:val="975"/>
    <w:uiPriority w:val="30"/>
    <w:rPr>
      <w:i/>
    </w:rPr>
  </w:style>
  <w:style w:type="paragraph" w:styleId="977">
    <w:name w:val="Header"/>
    <w:basedOn w:val="1127"/>
    <w:link w:val="9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78">
    <w:name w:val="Header Char"/>
    <w:link w:val="977"/>
    <w:uiPriority w:val="99"/>
  </w:style>
  <w:style w:type="paragraph" w:styleId="979">
    <w:name w:val="Footer"/>
    <w:basedOn w:val="1127"/>
    <w:link w:val="9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80">
    <w:name w:val="Footer Char"/>
    <w:link w:val="979"/>
    <w:uiPriority w:val="99"/>
  </w:style>
  <w:style w:type="paragraph" w:styleId="981">
    <w:name w:val="Caption"/>
    <w:basedOn w:val="1127"/>
    <w:next w:val="1127"/>
    <w:link w:val="9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82">
    <w:name w:val="Caption Char"/>
    <w:basedOn w:val="981"/>
    <w:link w:val="979"/>
    <w:uiPriority w:val="99"/>
  </w:style>
  <w:style w:type="table" w:styleId="98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9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1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1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1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1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1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1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2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2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2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2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2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2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2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2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2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2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3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3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3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4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4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4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5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5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5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5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7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7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7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7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8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8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8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8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8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8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8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8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8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8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9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9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9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9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9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9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9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9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9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9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0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0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0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0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0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0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0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0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0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09">
    <w:name w:val="Hyperlink"/>
    <w:uiPriority w:val="99"/>
    <w:unhideWhenUsed/>
    <w:rPr>
      <w:color w:val="0000ff" w:themeColor="hyperlink"/>
      <w:u w:val="single"/>
    </w:rPr>
  </w:style>
  <w:style w:type="paragraph" w:styleId="1110">
    <w:name w:val="footnote text"/>
    <w:basedOn w:val="1127"/>
    <w:link w:val="1111"/>
    <w:uiPriority w:val="99"/>
    <w:semiHidden/>
    <w:unhideWhenUsed/>
    <w:pPr>
      <w:spacing w:after="40" w:line="240" w:lineRule="auto"/>
    </w:pPr>
    <w:rPr>
      <w:sz w:val="18"/>
    </w:rPr>
  </w:style>
  <w:style w:type="character" w:styleId="1111">
    <w:name w:val="Footnote Text Char"/>
    <w:link w:val="1110"/>
    <w:uiPriority w:val="99"/>
    <w:rPr>
      <w:sz w:val="18"/>
    </w:rPr>
  </w:style>
  <w:style w:type="character" w:styleId="1112">
    <w:name w:val="footnote reference"/>
    <w:uiPriority w:val="99"/>
    <w:unhideWhenUsed/>
    <w:rPr>
      <w:vertAlign w:val="superscript"/>
    </w:rPr>
  </w:style>
  <w:style w:type="paragraph" w:styleId="1113">
    <w:name w:val="endnote text"/>
    <w:basedOn w:val="1127"/>
    <w:link w:val="1114"/>
    <w:uiPriority w:val="99"/>
    <w:semiHidden/>
    <w:unhideWhenUsed/>
    <w:pPr>
      <w:spacing w:after="0" w:line="240" w:lineRule="auto"/>
    </w:pPr>
    <w:rPr>
      <w:sz w:val="20"/>
    </w:rPr>
  </w:style>
  <w:style w:type="character" w:styleId="1114">
    <w:name w:val="Endnote Text Char"/>
    <w:link w:val="1113"/>
    <w:uiPriority w:val="99"/>
    <w:rPr>
      <w:sz w:val="20"/>
    </w:rPr>
  </w:style>
  <w:style w:type="character" w:styleId="1115">
    <w:name w:val="endnote reference"/>
    <w:uiPriority w:val="99"/>
    <w:semiHidden/>
    <w:unhideWhenUsed/>
    <w:rPr>
      <w:vertAlign w:val="superscript"/>
    </w:rPr>
  </w:style>
  <w:style w:type="paragraph" w:styleId="1116">
    <w:name w:val="toc 1"/>
    <w:basedOn w:val="1127"/>
    <w:next w:val="1127"/>
    <w:uiPriority w:val="39"/>
    <w:unhideWhenUsed/>
    <w:pPr>
      <w:ind w:left="0" w:right="0" w:firstLine="0"/>
      <w:spacing w:after="57"/>
    </w:pPr>
  </w:style>
  <w:style w:type="paragraph" w:styleId="1117">
    <w:name w:val="toc 2"/>
    <w:basedOn w:val="1127"/>
    <w:next w:val="1127"/>
    <w:uiPriority w:val="39"/>
    <w:unhideWhenUsed/>
    <w:pPr>
      <w:ind w:left="283" w:right="0" w:firstLine="0"/>
      <w:spacing w:after="57"/>
    </w:pPr>
  </w:style>
  <w:style w:type="paragraph" w:styleId="1118">
    <w:name w:val="toc 3"/>
    <w:basedOn w:val="1127"/>
    <w:next w:val="1127"/>
    <w:uiPriority w:val="39"/>
    <w:unhideWhenUsed/>
    <w:pPr>
      <w:ind w:left="567" w:right="0" w:firstLine="0"/>
      <w:spacing w:after="57"/>
    </w:pPr>
  </w:style>
  <w:style w:type="paragraph" w:styleId="1119">
    <w:name w:val="toc 4"/>
    <w:basedOn w:val="1127"/>
    <w:next w:val="1127"/>
    <w:uiPriority w:val="39"/>
    <w:unhideWhenUsed/>
    <w:pPr>
      <w:ind w:left="850" w:right="0" w:firstLine="0"/>
      <w:spacing w:after="57"/>
    </w:pPr>
  </w:style>
  <w:style w:type="paragraph" w:styleId="1120">
    <w:name w:val="toc 5"/>
    <w:basedOn w:val="1127"/>
    <w:next w:val="1127"/>
    <w:uiPriority w:val="39"/>
    <w:unhideWhenUsed/>
    <w:pPr>
      <w:ind w:left="1134" w:right="0" w:firstLine="0"/>
      <w:spacing w:after="57"/>
    </w:pPr>
  </w:style>
  <w:style w:type="paragraph" w:styleId="1121">
    <w:name w:val="toc 6"/>
    <w:basedOn w:val="1127"/>
    <w:next w:val="1127"/>
    <w:uiPriority w:val="39"/>
    <w:unhideWhenUsed/>
    <w:pPr>
      <w:ind w:left="1417" w:right="0" w:firstLine="0"/>
      <w:spacing w:after="57"/>
    </w:pPr>
  </w:style>
  <w:style w:type="paragraph" w:styleId="1122">
    <w:name w:val="toc 7"/>
    <w:basedOn w:val="1127"/>
    <w:next w:val="1127"/>
    <w:uiPriority w:val="39"/>
    <w:unhideWhenUsed/>
    <w:pPr>
      <w:ind w:left="1701" w:right="0" w:firstLine="0"/>
      <w:spacing w:after="57"/>
    </w:pPr>
  </w:style>
  <w:style w:type="paragraph" w:styleId="1123">
    <w:name w:val="toc 8"/>
    <w:basedOn w:val="1127"/>
    <w:next w:val="1127"/>
    <w:uiPriority w:val="39"/>
    <w:unhideWhenUsed/>
    <w:pPr>
      <w:ind w:left="1984" w:right="0" w:firstLine="0"/>
      <w:spacing w:after="57"/>
    </w:pPr>
  </w:style>
  <w:style w:type="paragraph" w:styleId="1124">
    <w:name w:val="toc 9"/>
    <w:basedOn w:val="1127"/>
    <w:next w:val="1127"/>
    <w:uiPriority w:val="39"/>
    <w:unhideWhenUsed/>
    <w:pPr>
      <w:ind w:left="2268" w:right="0" w:firstLine="0"/>
      <w:spacing w:after="57"/>
    </w:pPr>
  </w:style>
  <w:style w:type="paragraph" w:styleId="1125">
    <w:name w:val="TOC Heading"/>
    <w:uiPriority w:val="39"/>
    <w:unhideWhenUsed/>
  </w:style>
  <w:style w:type="paragraph" w:styleId="1126">
    <w:name w:val="table of figures"/>
    <w:basedOn w:val="1127"/>
    <w:next w:val="1127"/>
    <w:uiPriority w:val="99"/>
    <w:unhideWhenUsed/>
    <w:pPr>
      <w:spacing w:after="0" w:afterAutospacing="0"/>
    </w:pPr>
  </w:style>
  <w:style w:type="paragraph" w:styleId="1127" w:default="1">
    <w:name w:val="Normal"/>
    <w:next w:val="1127"/>
    <w:link w:val="1127"/>
    <w:qFormat/>
    <w:pPr>
      <w:jc w:val="both"/>
      <w:spacing w:line="360" w:lineRule="atLeast"/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1128">
    <w:name w:val="Основной шрифт абзаца"/>
    <w:next w:val="1128"/>
    <w:link w:val="1127"/>
    <w:uiPriority w:val="1"/>
    <w:unhideWhenUsed/>
  </w:style>
  <w:style w:type="table" w:styleId="1129">
    <w:name w:val="Обычная таблица"/>
    <w:next w:val="1129"/>
    <w:link w:val="1127"/>
    <w:uiPriority w:val="99"/>
    <w:semiHidden/>
    <w:unhideWhenUsed/>
    <w:qFormat/>
    <w:tblPr/>
  </w:style>
  <w:style w:type="numbering" w:styleId="1130">
    <w:name w:val="Нет списка"/>
    <w:next w:val="1130"/>
    <w:link w:val="1127"/>
    <w:uiPriority w:val="99"/>
    <w:semiHidden/>
    <w:unhideWhenUsed/>
  </w:style>
  <w:style w:type="paragraph" w:styleId="1131">
    <w:name w:val="Основной текст с отступом"/>
    <w:basedOn w:val="1127"/>
    <w:next w:val="1131"/>
    <w:link w:val="1132"/>
    <w:pPr>
      <w:ind w:firstLine="720"/>
      <w:spacing w:line="360" w:lineRule="auto"/>
    </w:pPr>
    <w:rPr>
      <w:sz w:val="28"/>
      <w:szCs w:val="20"/>
      <w:lang w:val="en-US"/>
    </w:rPr>
  </w:style>
  <w:style w:type="character" w:styleId="1132">
    <w:name w:val="Основной текст с отступом Знак"/>
    <w:next w:val="1132"/>
    <w:link w:val="113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133">
    <w:name w:val="Нижний колонтитул"/>
    <w:basedOn w:val="1127"/>
    <w:next w:val="1133"/>
    <w:link w:val="1134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1134">
    <w:name w:val="Нижний колонтитул Знак"/>
    <w:next w:val="1134"/>
    <w:link w:val="113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35">
    <w:name w:val="Номер страницы"/>
    <w:basedOn w:val="1128"/>
    <w:next w:val="1135"/>
    <w:link w:val="1127"/>
  </w:style>
  <w:style w:type="paragraph" w:styleId="1136">
    <w:name w:val="Основной текст с отступом 2"/>
    <w:basedOn w:val="1127"/>
    <w:next w:val="1136"/>
    <w:link w:val="1137"/>
    <w:pPr>
      <w:ind w:firstLine="720"/>
    </w:pPr>
    <w:rPr>
      <w:b/>
      <w:sz w:val="32"/>
      <w:szCs w:val="32"/>
      <w:lang w:val="en-US"/>
    </w:rPr>
  </w:style>
  <w:style w:type="character" w:styleId="1137">
    <w:name w:val="Основной текст с отступом 2 Знак"/>
    <w:next w:val="1137"/>
    <w:link w:val="1136"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paragraph" w:styleId="1138">
    <w:name w:val="Абзац списка"/>
    <w:basedOn w:val="1127"/>
    <w:next w:val="1138"/>
    <w:link w:val="1127"/>
    <w:uiPriority w:val="34"/>
    <w:qFormat/>
    <w:pPr>
      <w:contextualSpacing/>
      <w:ind w:left="720"/>
      <w:jc w:val="left"/>
      <w:spacing w:after="200" w:line="276" w:lineRule="auto"/>
      <w:widowControl/>
    </w:pPr>
    <w:rPr>
      <w:rFonts w:ascii="Calibri" w:hAnsi="Calibri" w:eastAsia="Calibri"/>
      <w:sz w:val="22"/>
      <w:szCs w:val="22"/>
      <w:lang w:eastAsia="en-US"/>
    </w:rPr>
  </w:style>
  <w:style w:type="paragraph" w:styleId="1139">
    <w:name w:val="Текст выноски"/>
    <w:basedOn w:val="1127"/>
    <w:next w:val="1139"/>
    <w:link w:val="1140"/>
    <w:uiPriority w:val="99"/>
    <w:semiHidden/>
    <w:unhideWhenUsed/>
    <w:pPr>
      <w:spacing w:line="240" w:lineRule="auto"/>
    </w:pPr>
    <w:rPr>
      <w:rFonts w:ascii="Tahoma" w:hAnsi="Tahoma"/>
      <w:sz w:val="16"/>
      <w:szCs w:val="16"/>
      <w:lang w:val="en-US"/>
    </w:rPr>
  </w:style>
  <w:style w:type="character" w:styleId="1140">
    <w:name w:val="Текст выноски Знак"/>
    <w:next w:val="1140"/>
    <w:link w:val="113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141">
    <w:name w:val="Верхний колонтитул, Знак"/>
    <w:basedOn w:val="1127"/>
    <w:next w:val="1141"/>
    <w:link w:val="1142"/>
    <w:uiPriority w:val="99"/>
    <w:semiHidden/>
    <w:unhideWhenUsed/>
    <w:pPr>
      <w:spacing w:line="240" w:lineRule="auto"/>
      <w:tabs>
        <w:tab w:val="center" w:pos="4677" w:leader="none"/>
        <w:tab w:val="right" w:pos="9355" w:leader="none"/>
      </w:tabs>
    </w:pPr>
    <w:rPr>
      <w:lang w:val="en-US"/>
    </w:rPr>
  </w:style>
  <w:style w:type="character" w:styleId="1142">
    <w:name w:val="Верхний колонтитул Знак, Знак Знак1"/>
    <w:next w:val="1142"/>
    <w:link w:val="114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3">
    <w:name w:val="Основной текст"/>
    <w:basedOn w:val="1127"/>
    <w:next w:val="1143"/>
    <w:link w:val="1144"/>
    <w:uiPriority w:val="99"/>
    <w:unhideWhenUsed/>
    <w:pPr>
      <w:spacing w:after="120"/>
    </w:pPr>
  </w:style>
  <w:style w:type="character" w:styleId="1144">
    <w:name w:val="Основной текст Знак"/>
    <w:next w:val="1144"/>
    <w:link w:val="1143"/>
    <w:uiPriority w:val="99"/>
    <w:rPr>
      <w:rFonts w:ascii="Times New Roman" w:hAnsi="Times New Roman" w:eastAsia="Times New Roman"/>
      <w:sz w:val="24"/>
      <w:szCs w:val="24"/>
    </w:rPr>
  </w:style>
  <w:style w:type="paragraph" w:styleId="1145">
    <w:name w:val="Исполнитель"/>
    <w:basedOn w:val="1143"/>
    <w:next w:val="1145"/>
    <w:link w:val="1127"/>
    <w:pPr>
      <w:jc w:val="left"/>
      <w:spacing w:line="240" w:lineRule="exact"/>
      <w:widowControl/>
    </w:pPr>
    <w:rPr>
      <w:szCs w:val="20"/>
    </w:rPr>
  </w:style>
  <w:style w:type="character" w:styleId="1146" w:default="1">
    <w:name w:val="Default Paragraph Font"/>
    <w:uiPriority w:val="1"/>
    <w:semiHidden/>
    <w:unhideWhenUsed/>
  </w:style>
  <w:style w:type="numbering" w:styleId="1147" w:default="1">
    <w:name w:val="No List"/>
    <w:uiPriority w:val="99"/>
    <w:semiHidden/>
    <w:unhideWhenUsed/>
  </w:style>
  <w:style w:type="table" w:styleId="11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Департамент финансов админситрации г.Перми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письму  ОПЕРАТИВНЫЙ АНАЛИЗ ИСПОЛНЕНИЯ БЮДЖЕТА ГОРОДА ПЕРМИ НА 1 МАРТА 2012 ГОДА  ПОЯСНИТЕЛЬНАЯ ЗАПИСКА  Исполне</dc:title>
  <dc:creator>Dep_Fin</dc:creator>
  <cp:lastModifiedBy>novoselova-oa</cp:lastModifiedBy>
  <cp:revision>4401</cp:revision>
  <dcterms:created xsi:type="dcterms:W3CDTF">2022-06-10T10:27:00Z</dcterms:created>
  <dcterms:modified xsi:type="dcterms:W3CDTF">2026-04-14T05:14:16Z</dcterms:modified>
  <cp:version>983040</cp:version>
</cp:coreProperties>
</file>