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05"/>
        <w:jc w:val="right"/>
        <w:spacing w:line="240" w:lineRule="atLeast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Приложение 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pStyle w:val="1305"/>
        <w:jc w:val="right"/>
        <w:spacing w:line="240" w:lineRule="atLeast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  <w:t xml:space="preserve">к письму</w:t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aps/>
          <w:color w:val="000000" w:themeColor="text1"/>
          <w:sz w:val="28"/>
          <w:szCs w:val="40"/>
        </w:rPr>
      </w:r>
      <w:r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r>
    </w:p>
    <w:p>
      <w:pPr>
        <w:pStyle w:val="1305"/>
        <w:jc w:val="center"/>
        <w:spacing w:line="240" w:lineRule="auto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aps/>
          <w:color w:val="000000" w:themeColor="text1"/>
          <w:sz w:val="20"/>
          <w:szCs w:val="31"/>
        </w:rPr>
      </w:r>
      <w:r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r>
    </w:p>
    <w:p>
      <w:pPr>
        <w:pStyle w:val="1305"/>
        <w:jc w:val="center"/>
        <w:spacing w:line="240" w:lineRule="auto"/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pP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ОПЕРАТИВНЫЙ АНАЛИЗ Исполнения бюджета</w:t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r>
    </w:p>
    <w:p>
      <w:pPr>
        <w:pStyle w:val="1305"/>
        <w:jc w:val="center"/>
        <w:spacing w:line="240" w:lineRule="auto"/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pP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города Перми </w:t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на </w:t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1 АВГУСТА</w:t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  <w:highlight w:val="white"/>
        </w:rPr>
        <w:t xml:space="preserve"> года </w:t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  <w:highlight w:val="white"/>
        </w:rPr>
      </w:r>
    </w:p>
    <w:p>
      <w:pPr>
        <w:pStyle w:val="1305"/>
        <w:jc w:val="center"/>
        <w:spacing w:line="240" w:lineRule="auto"/>
        <w:rPr>
          <w:rFonts w:ascii="Times New Roman" w:hAnsi="Times New Roman" w:cs="Times New Roman"/>
          <w:b/>
          <w:caps/>
          <w:color w:val="000000" w:themeColor="text1"/>
          <w:sz w:val="16"/>
          <w:szCs w:val="16"/>
        </w:rPr>
      </w:pPr>
      <w:r>
        <w:rPr>
          <w:rFonts w:ascii="Times New Roman" w:hAnsi="Times New Roman" w:eastAsia="Times New Roman" w:cs="Times New Roman"/>
          <w:b/>
          <w:caps/>
          <w:color w:val="000000" w:themeColor="text1"/>
          <w:sz w:val="16"/>
          <w:szCs w:val="16"/>
        </w:rPr>
      </w:r>
      <w:r>
        <w:rPr>
          <w:rFonts w:ascii="Times New Roman" w:hAnsi="Times New Roman" w:cs="Times New Roman"/>
          <w:b/>
          <w:caps/>
          <w:color w:val="000000" w:themeColor="text1"/>
          <w:sz w:val="16"/>
          <w:szCs w:val="16"/>
        </w:rPr>
      </w:r>
      <w:r>
        <w:rPr>
          <w:rFonts w:ascii="Times New Roman" w:hAnsi="Times New Roman" w:cs="Times New Roman"/>
          <w:b/>
          <w:caps/>
          <w:color w:val="000000" w:themeColor="text1"/>
          <w:sz w:val="16"/>
          <w:szCs w:val="16"/>
        </w:rPr>
      </w:r>
    </w:p>
    <w:p>
      <w:pPr>
        <w:pStyle w:val="1305"/>
        <w:jc w:val="center"/>
        <w:spacing w:line="240" w:lineRule="auto"/>
        <w:rPr>
          <w:rFonts w:ascii="Times New Roman" w:hAnsi="Times New Roman" w:cs="Times New Roman"/>
          <w:b/>
          <w:caps/>
          <w:color w:val="000000" w:themeColor="text1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aps/>
          <w:color w:val="000000" w:themeColor="text1"/>
          <w:sz w:val="32"/>
          <w:szCs w:val="32"/>
        </w:rPr>
        <w:t xml:space="preserve">пояснительная записка</w:t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</w:rPr>
      </w:r>
      <w:r>
        <w:rPr>
          <w:rFonts w:ascii="Times New Roman" w:hAnsi="Times New Roman" w:cs="Times New Roman"/>
          <w:b/>
          <w:caps/>
          <w:color w:val="000000" w:themeColor="text1"/>
          <w:sz w:val="32"/>
          <w:szCs w:val="32"/>
        </w:rPr>
      </w:r>
    </w:p>
    <w:p>
      <w:pPr>
        <w:ind w:firstLine="567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305"/>
        <w:ind w:firstLine="567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1305"/>
        <w:contextualSpacing w:val="0"/>
        <w:ind w:firstLine="709"/>
        <w:jc w:val="both"/>
        <w:spacing w:line="240" w:lineRule="auto"/>
        <w:rPr>
          <w:rFonts w:ascii="Times New Roman" w:hAnsi="Times New Roman" w:cs="Times New Roman"/>
          <w:strike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Исполнение бюджета города Перми по состоянию на 1 августа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 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перативным данным характеризуется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следующими показателями: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</w:rPr>
        <w:tab/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</w:rPr>
      </w:r>
    </w:p>
    <w:p>
      <w:pPr>
        <w:contextualSpacing w:val="0"/>
        <w:ind w:firstLine="709"/>
        <w:jc w:val="both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16"/>
          <w:szCs w:val="16"/>
        </w:rPr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</w:rPr>
        <w:t xml:space="preserve">                        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305"/>
        <w:contextualSpacing w:val="0"/>
        <w:jc w:val="both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</w:rPr>
        <w:tab/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 доходам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сумме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35 538 226,1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ли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99</w:t>
      </w:r>
      <w:r>
        <w:rPr>
          <w:rFonts w:ascii="Times New Roman" w:hAnsi="Times New Roman" w:eastAsia="Times New Roman" w:cs="Times New Roman"/>
          <w:b/>
          <w:bCs/>
          <w:strike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/>
          <w:bCs/>
          <w:strike w:val="0"/>
          <w:color w:val="000000" w:themeColor="text1"/>
          <w:sz w:val="28"/>
          <w:szCs w:val="28"/>
          <w:highlight w:val="white"/>
        </w:rPr>
        <w:t xml:space="preserve">5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плана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ян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варя-июля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года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35 702 757,6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 руб.)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 52,5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уточненного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годового плана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67 657 531,3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ыс. руб.). За аналогичный период  прошлого  года  поступления  доходов составляли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32 444 604,7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 руб.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jc w:val="both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305"/>
        <w:ind w:firstLine="567"/>
        <w:spacing w:line="240" w:lineRule="atLeast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</w:rPr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</w:rPr>
        <w:t xml:space="preserve">Ана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</w:rPr>
        <w:t xml:space="preserve">лиз поступления доходов бюджета 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январь-июль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</w:rPr>
        <w:t xml:space="preserve"> 20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</w:rPr>
        <w:t xml:space="preserve">25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</w:rPr>
        <w:t xml:space="preserve"> и 2026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</w:rPr>
        <w:t xml:space="preserve"> год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</w:rPr>
        <w:t xml:space="preserve">ов приведен в следующей таблице: 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</w:r>
    </w:p>
    <w:p>
      <w:pPr>
        <w:ind w:firstLine="567"/>
        <w:spacing w:line="240" w:lineRule="atLeast"/>
        <w:rPr>
          <w:rFonts w:ascii="Times New Roman" w:hAnsi="Times New Roman" w:cs="Times New Roman"/>
          <w:strike w:val="0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</w:rPr>
      </w:r>
    </w:p>
    <w:p>
      <w:pPr>
        <w:ind w:firstLine="567"/>
        <w:jc w:val="center"/>
        <w:spacing w:line="240" w:lineRule="atLeast"/>
        <w:rPr>
          <w:rFonts w:ascii="Times New Roman" w:hAnsi="Times New Roman" w:cs="Times New Roman"/>
          <w:strike w:val="0"/>
          <w:color w:val="000000" w:themeColor="text1"/>
          <w:sz w:val="36"/>
          <w:szCs w:val="36"/>
          <w:highlight w:val="none"/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(тыс.руб.)</w:t>
      </w:r>
      <w:r>
        <w:rPr>
          <w:rFonts w:ascii="Times New Roman" w:hAnsi="Times New Roman" w:cs="Times New Roman"/>
          <w:strike w:val="0"/>
          <w:color w:val="000000" w:themeColor="text1"/>
          <w:sz w:val="36"/>
          <w:szCs w:val="36"/>
          <w:highlight w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36"/>
          <w:szCs w:val="36"/>
          <w:highlight w:val="none"/>
        </w:rPr>
      </w:r>
    </w:p>
    <w:tbl>
      <w:tblPr>
        <w:tblW w:w="10413" w:type="dxa"/>
        <w:tblLayout w:type="fixed"/>
        <w:tblLook w:val="04A0" w:firstRow="1" w:lastRow="0" w:firstColumn="1" w:lastColumn="0" w:noHBand="0" w:noVBand="1"/>
      </w:tblPr>
      <w:tblGrid>
        <w:gridCol w:w="4460"/>
        <w:gridCol w:w="1559"/>
        <w:gridCol w:w="1559"/>
        <w:gridCol w:w="1417"/>
        <w:gridCol w:w="1417"/>
      </w:tblGrid>
      <w:tr>
        <w:tblPrEx/>
        <w:trPr>
          <w:trHeight w:val="133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u w:val="none"/>
                <w:vertAlign w:val="baseline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u w:val="none"/>
                <w:vertAlign w:val="baseline"/>
              </w:rPr>
              <w:t xml:space="preserve">Факт на 01.08.2025     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u w:val="none"/>
                <w:vertAlign w:val="baseline"/>
              </w:rPr>
              <w:t xml:space="preserve">Факт на 01.08.2026     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u w:val="none"/>
                <w:vertAlign w:val="baseline"/>
              </w:rPr>
              <w:t xml:space="preserve">Отклонение поступлений 2026 года от 2025 года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u w:val="none"/>
                <w:vertAlign w:val="baseline"/>
              </w:rPr>
              <w:t xml:space="preserve">Отношение поступлений 2026 года к 2025 году, %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>
          <w:trHeight w:val="324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u w:val="none"/>
                <w:vertAlign w:val="baseline"/>
              </w:rPr>
              <w:t xml:space="preserve"> Налоговые и неналоговые доходы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17 793 359,6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19 303 443,8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1 510 084,2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108,5%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>
          <w:trHeight w:val="406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u w:val="none"/>
                <w:vertAlign w:val="baseline"/>
              </w:rPr>
              <w:t xml:space="preserve">      Налоговые доходы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13 378 065,8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14 355 169,9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977 104,1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107,3%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>
          <w:trHeight w:val="405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u w:val="none"/>
                <w:vertAlign w:val="baseline"/>
              </w:rPr>
              <w:t xml:space="preserve">      Неналоговые доходы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4 415 293,8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4 948 273,9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532 980,1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112,1%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>
          <w:trHeight w:val="38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2"/>
                <w:u w:val="none"/>
                <w:vertAlign w:val="baseline"/>
              </w:rPr>
              <w:t xml:space="preserve">   Безвозмездные поступления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14 651 245,1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16 234 782,3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1 583 537,3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center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110,8%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>
          <w:trHeight w:val="391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460" w:type="dxa"/>
            <w:vAlign w:val="bottom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sz w:val="22"/>
                <w:u w:val="none"/>
                <w:vertAlign w:val="baseline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32 444 604,7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bottom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35 538 226,1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3 093 621,5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bottom"/>
            <w:textDirection w:val="lrTb"/>
            <w:noWrap/>
          </w:tcPr>
          <w:p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 w:themeColor="text1"/>
                <w:sz w:val="24"/>
                <w:u w:val="none"/>
                <w:vertAlign w:val="baseline"/>
              </w:rPr>
              <w:t xml:space="preserve">109,5%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ind w:firstLine="0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color w:val="c00000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trike w:val="0"/>
          <w:color w:val="c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  <w14:ligatures w14:val="none"/>
        </w:rPr>
      </w:r>
    </w:p>
    <w:p>
      <w:pPr>
        <w:pStyle w:val="1305"/>
        <w:ind w:firstLine="567"/>
        <w:spacing w:line="240" w:lineRule="auto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c00000"/>
          <w:sz w:val="20"/>
        </w:rPr>
        <w:t xml:space="preserve">  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асходам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-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сумме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35 836 075,0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b/>
          <w:i w:val="0"/>
          <w:iCs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97,0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%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кассового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плана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января-июля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года 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36 928 056,2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тыс.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50,2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годовых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ссигнований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71 380 120,5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руб.).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ассовый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 расход з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аналогичный период прошлого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составлял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32 243 488,6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96,6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 кассового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плана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января-июля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2025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highlight w:val="white"/>
        </w:rPr>
      </w:r>
      <w:r>
        <w:rPr>
          <w:rFonts w:ascii="Times New Roman" w:hAnsi="Times New Roman" w:cs="Times New Roman"/>
          <w:color w:val="000000" w:themeColor="text1"/>
          <w:highlight w:val="white"/>
        </w:rPr>
      </w:r>
    </w:p>
    <w:p>
      <w:pPr>
        <w:pStyle w:val="1305"/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32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</w:r>
    </w:p>
    <w:p>
      <w:pPr>
        <w:pStyle w:val="1305"/>
        <w:ind w:firstLine="709"/>
        <w:spacing w:line="240" w:lineRule="auto"/>
        <w:rPr>
          <w:rFonts w:ascii="Times New Roman" w:hAnsi="Times New Roman" w:cs="Times New Roman"/>
          <w:b/>
          <w:color w:val="000000" w:themeColor="text1"/>
          <w:sz w:val="12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Кассовые выплаты 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январь-июль 2026 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превысили поступления                              по доходам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сумму 297 848,9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руб.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12"/>
          <w:szCs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12"/>
          <w:szCs w:val="28"/>
          <w:highlight w:val="white"/>
        </w:rPr>
      </w:r>
    </w:p>
    <w:p>
      <w:pPr>
        <w:pStyle w:val="1305"/>
        <w:ind w:firstLine="709"/>
        <w:spacing w:line="240" w:lineRule="atLeast"/>
        <w:tabs>
          <w:tab w:val="left" w:pos="7938" w:leader="none"/>
        </w:tabs>
        <w:rPr>
          <w:rFonts w:ascii="Times New Roman" w:hAnsi="Times New Roman" w:cs="Times New Roman"/>
          <w:color w:val="000000" w:themeColor="text1"/>
          <w:sz w:val="28"/>
          <w:szCs w:val="22"/>
        </w:rPr>
      </w:pPr>
      <w:r>
        <w:rPr>
          <w:rFonts w:ascii="Times New Roman" w:hAnsi="Times New Roman" w:eastAsia="Times New Roman" w:cs="Times New Roman"/>
          <w:color w:val="000000" w:themeColor="text1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2"/>
        </w:rPr>
      </w:r>
      <w:r>
        <w:rPr>
          <w:rFonts w:ascii="Times New Roman" w:hAnsi="Times New Roman" w:cs="Times New Roman"/>
          <w:color w:val="000000" w:themeColor="text1"/>
          <w:sz w:val="28"/>
          <w:szCs w:val="22"/>
        </w:rPr>
      </w:r>
    </w:p>
    <w:p>
      <w:pPr>
        <w:ind w:firstLine="709"/>
        <w:spacing w:line="240" w:lineRule="atLeast"/>
        <w:tabs>
          <w:tab w:val="left" w:pos="0" w:leader="none"/>
          <w:tab w:val="left" w:pos="900" w:leader="none"/>
        </w:tabs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</w:p>
    <w:p>
      <w:pPr>
        <w:ind w:firstLine="709"/>
        <w:spacing w:line="240" w:lineRule="atLeast"/>
        <w:tabs>
          <w:tab w:val="left" w:pos="0" w:leader="none"/>
          <w:tab w:val="left" w:pos="900" w:leader="none"/>
        </w:tabs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</w:p>
    <w:p>
      <w:pPr>
        <w:ind w:firstLine="709"/>
        <w:spacing w:line="240" w:lineRule="atLeast"/>
        <w:tabs>
          <w:tab w:val="left" w:pos="0" w:leader="none"/>
          <w:tab w:val="left" w:pos="900" w:leader="none"/>
        </w:tabs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</w:p>
    <w:p>
      <w:pPr>
        <w:ind w:firstLine="709"/>
        <w:spacing w:line="240" w:lineRule="atLeast"/>
        <w:tabs>
          <w:tab w:val="left" w:pos="0" w:leader="none"/>
          <w:tab w:val="left" w:pos="900" w:leader="none"/>
        </w:tabs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</w:p>
    <w:p>
      <w:pPr>
        <w:pStyle w:val="1305"/>
        <w:ind w:firstLine="709"/>
        <w:spacing w:line="240" w:lineRule="atLeast"/>
        <w:tabs>
          <w:tab w:val="left" w:pos="0" w:leader="none"/>
          <w:tab w:val="left" w:pos="900" w:leader="none"/>
        </w:tabs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c00000"/>
          <w:sz w:val="28"/>
          <w:szCs w:val="20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</w:p>
    <w:p>
      <w:pPr>
        <w:ind w:firstLine="709"/>
        <w:spacing w:line="240" w:lineRule="atLeast"/>
        <w:tabs>
          <w:tab w:val="left" w:pos="0" w:leader="none"/>
          <w:tab w:val="left" w:pos="900" w:leader="none"/>
        </w:tabs>
        <w:rPr>
          <w:rFonts w:ascii="Times New Roman" w:hAnsi="Times New Roman" w:cs="Times New Roman"/>
          <w:color w:val="c00000"/>
          <w:sz w:val="16"/>
          <w:szCs w:val="16"/>
        </w:rPr>
      </w:pPr>
      <w:r>
        <w:rPr>
          <w:rFonts w:ascii="Times New Roman" w:hAnsi="Times New Roman" w:eastAsia="Times New Roman" w:cs="Times New Roman"/>
          <w:color w:val="c00000"/>
          <w:sz w:val="16"/>
          <w:szCs w:val="20"/>
        </w:rPr>
      </w:r>
      <w:r>
        <w:rPr>
          <w:rFonts w:ascii="Times New Roman" w:hAnsi="Times New Roman" w:cs="Times New Roman"/>
          <w:color w:val="c00000"/>
          <w:sz w:val="16"/>
          <w:szCs w:val="16"/>
        </w:rPr>
      </w:r>
      <w:r>
        <w:rPr>
          <w:rFonts w:ascii="Times New Roman" w:hAnsi="Times New Roman" w:cs="Times New Roman"/>
          <w:color w:val="c00000"/>
          <w:sz w:val="16"/>
          <w:szCs w:val="16"/>
        </w:rPr>
      </w:r>
    </w:p>
    <w:p>
      <w:pPr>
        <w:pStyle w:val="1145"/>
        <w:numPr>
          <w:ilvl w:val="0"/>
          <w:numId w:val="220"/>
        </w:numPr>
        <w:jc w:val="center"/>
        <w:rPr>
          <w:rFonts w:ascii="Times New Roman" w:hAnsi="Times New Roman" w:cs="Times New Roman"/>
          <w:b/>
          <w:caps/>
          <w:strike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aps/>
          <w:strike w:val="0"/>
          <w:color w:val="000000" w:themeColor="text1"/>
          <w:sz w:val="28"/>
          <w:szCs w:val="28"/>
          <w:highlight w:val="white"/>
        </w:rPr>
        <w:t xml:space="preserve">ИСПОЛНЕНИЕ БЮДЖЕТА ПО ДОХОДАМ </w:t>
      </w:r>
      <w:r>
        <w:rPr>
          <w:rFonts w:ascii="Times New Roman" w:hAnsi="Times New Roman" w:cs="Times New Roman"/>
          <w:b/>
          <w:caps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aps/>
          <w:strike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center"/>
        <w:spacing w:line="240" w:lineRule="auto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Нал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оговые доходы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поступили в бюджет города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мме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14 355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169,9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руб.,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или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98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,1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 плану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января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-июля 2026 года (14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638 346,4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49,7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 плану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28 873 554,0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 аналогичный период прошлого года поступления налоговых доходов составляли 13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378 065,8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tabs>
          <w:tab w:val="left" w:pos="0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tabs>
          <w:tab w:val="left" w:pos="0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Неналоговые доходы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поступили в бюджет города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мме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4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948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273,9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руб.,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108,2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 плану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января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-июля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2026 года (4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574 846,2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руб.)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60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,4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 плану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8 186 565,9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 аналогичный период прошлого год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 поступления неналоговых доходов составляли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4 415 293,8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Вместе с тем, план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доходам от платы за проезд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 исполнен на 77 288,0 тыс. руб. в связи со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снижением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объема пассажиропотока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p>
      <w:pPr>
        <w:ind w:firstLine="709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Безвозмездные поступления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от бюджетов других уровней поступили в сумме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16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234 782,3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ыс. руб.,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или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98,5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 плану января-июля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2026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года </w:t>
        <w:br/>
        <w:t xml:space="preserve">(16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489 565,0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руб.)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53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,1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 плану года (30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597 411,4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уб.).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 аналогичный период прошлого года поступления составляли 14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651 245,1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0"/>
        <w:jc w:val="left"/>
        <w:spacing w:line="240" w:lineRule="auto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center"/>
        <w:spacing w:line="240" w:lineRule="auto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Анализ исполнения плана по доходам за январь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-июль 2026 года по осно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вным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бюджетообразующим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поступлениям выглядит следующим образом: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0"/>
        <w:spacing w:line="240" w:lineRule="auto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По 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8"/>
          <w:szCs w:val="28"/>
          <w:highlight w:val="white"/>
        </w:rPr>
        <w:t xml:space="preserve">налогу на доходы физических лиц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фактическое поступление </w:t>
      </w: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highlight w:val="white"/>
        </w:rPr>
        <w:t xml:space="preserve">составил</w:t>
      </w: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11 003 027,0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тыс. руб.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или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97,6%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к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плану отчетного периода (11 269 558,8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тыс. руб.) и 50,4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уточненному плану года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21 827 600,0 тыс. руб.).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  <w14:ligatures w14:val="non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еполное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исполнение плана отчетного периода обусловлено недостижением запланированного темпа роста по НДФЛ, уплачиваемому физическими лицами по декларациям и с дивидендов.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ligatures w14:val="non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Относител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ьно аналогичного периода прошлого года поступления составили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110,5%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По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8"/>
          <w:szCs w:val="28"/>
          <w:highlight w:val="white"/>
        </w:rPr>
        <w:t xml:space="preserve"> туристическому налогу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фактичес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кое поступление составило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28 155,7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тыс. руб., или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106,2%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 плану отчетного периода (26 500,0 тыс.руб.)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73,4% к плану года (38 381,0 тыс.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Относительно аналогичного периода прошлого года поступления увеличились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1,5 раза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выполнение плана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обусловлено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увеличением суммы исчисленного налога за 4 квартал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2025 года.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14:ligatures w14:val="none"/>
        </w:rPr>
      </w:r>
    </w:p>
    <w:p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По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8"/>
          <w:szCs w:val="28"/>
          <w:highlight w:val="white"/>
        </w:rPr>
        <w:t xml:space="preserve"> налогу, взимаемому в связи с применением упрощенной системы налогообложения,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фактичес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кое поступление составило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916 716,3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тыс. руб.,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или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95,7%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 плану отчетного периода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(957 500,0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тыс. руб.) и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69,5%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плану года </w:t>
        <w:br/>
        <w:t xml:space="preserve">(1 319 195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,1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тыс. руб.).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Отн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осительно аналогично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го периода прошлого года поступления составил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102,0%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line="240" w:lineRule="auto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данным главного администратора – Управления Федеральной налоговой службы по Пермскому краю,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неполное исполнение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повлияло снижение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количества индивидуальных предпринимателей и юридических лиц, применяющих упрощенную систему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логообложения, в связи с переходом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плательщиков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применение АУСН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бщую систему налогообложения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85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85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По 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8"/>
          <w:szCs w:val="28"/>
          <w:highlight w:val="white"/>
        </w:rPr>
        <w:t xml:space="preserve">налогу, взимаемому в связи с применением патентной системы налогообложения,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фактическое поступление составило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161 939,4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тыс. руб., или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95,1%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к плану от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четного периода (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170 215,6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тыс. руб.) и 36,3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%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пл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ану года </w:t>
        <w:br/>
        <w:t xml:space="preserve">(446 509,8 тыс. руб.).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Относительно аналогичного периода прошлого года поступления состави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ли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48,3%.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09"/>
        <w:jc w:val="both"/>
        <w:widowControl w:val="off"/>
        <w:rPr>
          <w:rFonts w:ascii="Times New Roman" w:hAnsi="Times New Roman" w:cs="Times New Roman"/>
          <w:strike/>
          <w:color w:val="000000" w:themeColor="text1"/>
          <w:sz w:val="28"/>
          <w:szCs w:val="28"/>
          <w:highlight w:val="cyan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Неполное ис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полнение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плана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отчетного периода обусловлено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ш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5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а.</w:t>
      </w:r>
      <w:r>
        <w:rPr>
          <w:rFonts w:ascii="Times New Roman" w:hAnsi="Times New Roman" w:cs="Times New Roman"/>
          <w:strike/>
          <w:color w:val="000000" w:themeColor="text1"/>
          <w:sz w:val="28"/>
          <w:szCs w:val="28"/>
          <w:highlight w:val="cyan"/>
        </w:rPr>
      </w:r>
      <w:r>
        <w:rPr>
          <w:rFonts w:ascii="Times New Roman" w:hAnsi="Times New Roman" w:cs="Times New Roman"/>
          <w:strike/>
          <w:color w:val="000000" w:themeColor="text1"/>
          <w:sz w:val="28"/>
          <w:szCs w:val="28"/>
          <w:highlight w:val="cyan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highlight w:val="none"/>
        </w:rPr>
        <w:t xml:space="preserve">о 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8"/>
          <w:szCs w:val="28"/>
          <w:highlight w:val="none"/>
        </w:rPr>
        <w:t xml:space="preserve">налогу 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8"/>
          <w:szCs w:val="28"/>
          <w:highlight w:val="none"/>
        </w:rPr>
        <w:t xml:space="preserve">н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8"/>
          <w:szCs w:val="28"/>
          <w:highlight w:val="none"/>
        </w:rPr>
        <w:t xml:space="preserve">а имущес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8"/>
          <w:szCs w:val="28"/>
          <w:highlight w:val="none"/>
        </w:rPr>
        <w:t xml:space="preserve">тво ф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8"/>
          <w:szCs w:val="28"/>
          <w:highlight w:val="none"/>
        </w:rPr>
        <w:t xml:space="preserve">изических лиц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поступление составило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92 374,2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тыс.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 руб.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или 98,3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отчетного пе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рио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да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(94 000,0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 тыс. руб.)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и 4,9% к плану год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а (1 866 643,8 тыс. руб.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)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ри отсутствии срока уплаты поступили платежи в счет погаше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ния задолженности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Относительно аналогичного периода прошлого года поступления составили 109,7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firstLine="708"/>
        <w:jc w:val="both"/>
        <w:spacing w:before="0" w:after="0" w:line="240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highlight w:val="non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Cs/>
          <w:color w:val="000000" w:themeColor="text1"/>
          <w:sz w:val="28"/>
          <w:szCs w:val="28"/>
          <w:highlight w:val="white"/>
        </w:rPr>
        <w:t xml:space="preserve">По</w:t>
      </w:r>
      <w:r>
        <w:rPr>
          <w:rFonts w:ascii="Times New Roman" w:hAnsi="Times New Roman" w:eastAsia="Times New Roman" w:cs="Times New Roman"/>
          <w:b/>
          <w:iCs/>
          <w:color w:val="000000" w:themeColor="text1"/>
          <w:sz w:val="28"/>
          <w:szCs w:val="28"/>
          <w:highlight w:val="white"/>
        </w:rPr>
        <w:t xml:space="preserve"> земельному налогу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фактическое поступление составило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1 717 282,6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руб., или 100,7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плана отчетного периода 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1 704 500,0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тыс. руб.) и 65,3% к плану года (2 628 818,0 тыс. руб.)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Относительно аналогично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го периода прошлого года поступления составили 103,6%.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Доходы, полу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чаемые в виде арендной платы за земельные участки, государственная собственность на которые не разграничена, и которые расположены в границах городских округов, а также средства от продажи права на заключение договоров аренды указанных земельных участков,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земельных отношений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поступили в сумме 285 989,0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руб., что на 15,1% больше плана отчетного периода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(248 577,9 тыс. руб.)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составляет 69,2% к плану 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(413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 255,3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б.)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Относительно аналогичного периода прошлого года поступления увеличились на 9,4% (на 24 543,0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 счет средств от продажи права на заключение договоров аренды земельных участков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торгах.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том числе: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доходы от арендной платы за земельные участки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поступили в сумме 149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 153,5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 тыс. руб., что составляет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87,1% плана отчетного периода </w:t>
        <w:br/>
        <w:t xml:space="preserve">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171 340,0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 тыс. 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и 48,6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плану года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306 696,2 тыс. руб.)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Относительно аналогичного периода прошлого года поступления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94,5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Неисполнение планового задания связано с осуществлением возвратов денежных средств в сумме 1 745,3 тыс. руб, а также с ухудшением платежной дисциплины арендаторов земельных участков;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rFonts w:ascii="Times New Roman" w:hAnsi="Times New Roman" w:eastAsia="Times New Roman" w:cs="Times New Roman"/>
          <w:i/>
          <w:color w:val="000000" w:themeColor="text1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средства от реализации права на заключение до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говоров аренды земельных участков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поступили в сумме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136 835,5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что на 77,2% больше плана отчетного периода (77 237,9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составляет 128,4% 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лану года (106 559,1 тыс. руб.).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shd w:val="clear" w:color="ffffff" w:themeColor="background1" w:fill="ffffff" w:themeFill="background1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Перевыполнение плана сложилось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итогам состоявшихся торгов, 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азмер ежегодной арендной платы  превысил начальную це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,6 раза.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yellow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yellow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Доходы, получаемые в виде арендной платы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за земли, находящиеся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в собственности городских округов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 а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 также средства от продажи права на заключение договоров аренды указанных земельных участков,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земельных отношений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поступили в сумме 57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 549,6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что составляет 62,7%  плана отчетного периода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(91 921,5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 39,8% к плану 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(144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 494,9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б.)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том чи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сле: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доходы от арендной платы за земельные участки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поступили в сумме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br/>
        <w:t xml:space="preserve">43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886,2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руб., что на 26,6%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больше плана отчетн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ого периода (34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665,0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руб.)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составляет 75,5%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 плану года 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58 127,6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руб.)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Относительно аналогичного периода прошлого года поступления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121,9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outlineLvl w:val="0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Перевыполнение планового задания обусловлено поступлением оплаты по договорам аренд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заключенными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после 1 июля 2025 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средства от продажи права на заключение договоров аренды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земельных участков, находящихся в муниципальной собственности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поступили в сумме 13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663,4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руб., что составляет 23,9%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плана на отчетного периода (57 056,5 тыс. руб.)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15,8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 к плану года (86 367,3 тыс. руб.).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Неисполнение планового задания связано с переносом сроков подготовки документации для проведения торгов по реализации земельного участка под многоквартирный дом.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Доходы от сдачи в аренду муниципального имущества,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имущественных отношений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поступили в сумме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43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 839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руб., что составляет 99,9% к плану отчетного периода (43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 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00,0 тыс. руб.) и 51,5% к плану года (85 184,0 тыс. руб.).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Относительно аналогичного перио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да прошлого года поступления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составили 94,0%.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и муниципальных унитарных предприятий, в том числе ка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зенных)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поступили в сумме 131 364,5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руб., что составляет 116,3% от плана отчетного периода (112 939,2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руб.) и 61,4% к плану года (213 786,6 тыс. руб.).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Относительно аналогичного периода прошлого года поступления составили 119,6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0" w:leader="none"/>
          <w:tab w:val="left" w:pos="900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том числе: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u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-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none"/>
        </w:rPr>
        <w:t xml:space="preserve">доходы от платы за наем муниципального жилищного фонда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администрируемые управлением жилищных отношений администрации города Перм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з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49 599,3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ы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б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109,9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% к плану отчетного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перио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да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(45 120,6 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ыс.руб.)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</w:rPr>
        <w:t xml:space="preserve">и 61,9% к плану года (80 120,6 тыс.руб.). 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u w:val="none"/>
          <w14:ligatures w14:val="none"/>
        </w:rPr>
      </w:r>
    </w:p>
    <w:p>
      <w:pPr>
        <w:ind w:firstLine="709"/>
        <w:jc w:val="both"/>
        <w:shd w:val="clear" w:color="ffffff" w:themeColor="background1" w:fill="ffffff" w:themeFill="background1"/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  <w:t xml:space="preserve">Относительно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  <w:t xml:space="preserve">аналогичного периода прошлого года поступления увеличились 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  <w:t xml:space="preserve">а 24,8%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  <w:t xml:space="preserve"> связи с увеличением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  <w:t xml:space="preserve">базового размера платы за наем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  <w:t xml:space="preserve">жилого помещения c 01 января 2026 года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  <w:t xml:space="preserve">.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85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i w:val="0"/>
          <w:iCs w:val="0"/>
          <w:color w:val="000000" w:themeColor="text1"/>
          <w:sz w:val="28"/>
          <w:szCs w:val="28"/>
          <w:highlight w:val="white"/>
        </w:rPr>
        <w:t xml:space="preserve">- доходы по дого</w:t>
      </w:r>
      <w:r>
        <w:rPr>
          <w:rFonts w:ascii="Times New Roman" w:hAnsi="Times New Roman" w:eastAsia="Times New Roman" w:cs="Times New Roman"/>
          <w:b/>
          <w:i w:val="0"/>
          <w:iCs w:val="0"/>
          <w:color w:val="000000" w:themeColor="text1"/>
          <w:sz w:val="28"/>
          <w:szCs w:val="28"/>
          <w:highlight w:val="white"/>
        </w:rPr>
        <w:t xml:space="preserve">ворам на размещение рекламных конструкций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администрируемые департаментом экономики и промышленной политики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поступили в сумме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69 189,6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руб., 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то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1,1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раза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ревышает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план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отчетного перио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(60 245,9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составляе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58,1%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лану года (119 058,5 тыс. руб.)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tabs>
          <w:tab w:val="left" w:pos="0" w:leader="none"/>
          <w:tab w:val="left" w:pos="900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Перевыполнение плана связано с поступлением авансовых платежей за август 2026 года.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851"/>
        <w:spacing w:line="240" w:lineRule="auto"/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- доходы по договорам на размещение нестационарных объектов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экономики и промышленной политики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поступили в сумм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9 165,4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руб., чт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о в 1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,5 раза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превышает пла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н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отчетного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периода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(6 136,8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тыс. руб.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)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и составляет 86,6% к плану года (10 589,6 тыс. руб.). 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</w:p>
    <w:p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Перевыполнение плана обусловлено поступлением авансовых платежей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за авгу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ст 2026 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u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Дох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ды от оказания платных услуг (работ) и компенсации затрат государства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поступили в сумме 3 292 917,5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руб., что составляет 102,7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 к плану отчетного периода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(3 206 281,8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руб.) и 57,3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 к плану 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да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5 749 563,7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руб.).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  <w:t xml:space="preserve">Относительно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  <w:t xml:space="preserve">аналогичного периода прошлого года поступления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  <w:t xml:space="preserve"> составили 106,8%.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u w:val="non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том числе: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 средства от реализации проездных документов отдельным категориям граждан города Перми,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администрируемые департаментом транспорта,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поступили в сумме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u w:val="none"/>
          <w:vertAlign w:val="baseline"/>
        </w:rPr>
        <w:t xml:space="preserve">375 204,2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руб., или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100,4% к плану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  <w:br/>
        <w:t xml:space="preserve">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u w:val="none"/>
          <w:vertAlign w:val="baseline"/>
        </w:rPr>
        <w:t xml:space="preserve">373 765,9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 и 56,6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% к плану года (</w:t>
      </w:r>
      <w:r>
        <w:rPr>
          <w:rFonts w:ascii="Times New Roman" w:hAnsi="Times New Roman" w:eastAsia="Times New Roman" w:cs="Times New Roman"/>
          <w:b w:val="0"/>
          <w:i w:val="0"/>
          <w:iCs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662 855,1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руб.);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 средства от реализации единых проездных документов,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транспорта,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поступили в сумме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u w:val="none"/>
          <w:vertAlign w:val="baseline"/>
        </w:rPr>
        <w:t xml:space="preserve">290 116,4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руб., или 99,0% к плану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u w:val="none"/>
          <w:vertAlign w:val="baseline"/>
        </w:rPr>
        <w:t xml:space="preserve">292 976,2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 и 59,5% к плану года (</w:t>
      </w:r>
      <w:r>
        <w:rPr>
          <w:rFonts w:ascii="Times New Roman" w:hAnsi="Times New Roman" w:eastAsia="Times New Roman" w:cs="Times New Roman"/>
          <w:b w:val="0"/>
          <w:i w:val="0"/>
          <w:iCs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487 449,7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тыс. руб.);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средства от перечисления платы за проезд пассажиров и провоз багажа,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транспорта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, поступили в сумме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u w:val="none"/>
          <w:vertAlign w:val="baseline"/>
        </w:rPr>
        <w:t xml:space="preserve">2 460 309,1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тыс. руб., или 97,0% к плану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u w:val="none"/>
          <w:vertAlign w:val="baseline"/>
        </w:rPr>
        <w:t xml:space="preserve">2 536 175,6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 и 53,6% к плану год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а (</w:t>
      </w:r>
      <w:r>
        <w:rPr>
          <w:rFonts w:ascii="Times New Roman" w:hAnsi="Times New Roman" w:eastAsia="Times New Roman" w:cs="Times New Roman"/>
          <w:b w:val="0"/>
          <w:i w:val="0"/>
          <w:iCs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4 592 971,5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rPr>
          <w:rFonts w:ascii="Times New Roman" w:hAnsi="Times New Roman" w:cs="Times New Roman"/>
          <w:strike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i w:val="0"/>
          <w:iCs w:val="0"/>
          <w:strike w:val="0"/>
          <w:color w:val="000000" w:themeColor="text1"/>
          <w:sz w:val="28"/>
          <w:szCs w:val="28"/>
          <w:highlight w:val="white"/>
        </w:rPr>
        <w:t xml:space="preserve">В целом по до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ходам от платы за проезд выполнение составило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97,6%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от плана отчетного периода.</w:t>
      </w:r>
      <w:r>
        <w:rPr>
          <w:rFonts w:ascii="Times New Roman" w:hAnsi="Times New Roman" w:cs="Times New Roman"/>
          <w:strike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strike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Неполное исполнение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связано с недос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тижением запланированного объема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пассажиропотока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(при плане 105 388,6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тыс. чел.,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факт –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100 430,0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тыс. чел.)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green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green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green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Доходы от продажи земельных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участков, государственная собственность на которые не разграничена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земельных отношений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поступили в сумме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154 080,9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руб., что в 1,4 раза превышает план отчетного периода (112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753,8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руб.) и составляет 71,1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 к плану года (216 854,0 тыс. руб.).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Относительно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аналогичного периода прошлого года поступления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 составили 173,8%.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январе – июле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 аукционах реализован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в собственность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земельные участки, предназначенные под ИЖС, с превышением начальной цены.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тупление средств от продажи земельных участков носит заявитель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ный характер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Доходы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от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в,</w:t>
      </w:r>
      <w:r>
        <w:rPr>
          <w:rFonts w:ascii="Times New Roman" w:hAnsi="Times New Roman" w:eastAsia="Times New Roman" w:cs="Times New Roman"/>
          <w:b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администрируемые департаментом земельных отношений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, поступили в размере 50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394,2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руб., что в составляет 105,6% плана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(47 7</w:t>
      </w:r>
      <w:r>
        <w:rPr>
          <w:rFonts w:ascii="Times New Roman" w:hAnsi="Times New Roman" w:eastAsia="Times New Roman" w:cs="Times New Roman"/>
          <w:b w:val="0"/>
          <w:i w:val="0"/>
          <w:iCs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00,0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 и 49,5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% к плану года (101 764,9 тыс.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руб.).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Относительно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алогичного периода прошлого года поступления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 составили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101,2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%.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Поступление средств от продажи земельных участков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носит заявительный характер.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0" w:leader="none"/>
          <w:tab w:val="left" w:pos="709" w:leader="none"/>
          <w:tab w:val="left" w:pos="900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0" w:leader="none"/>
          <w:tab w:val="left" w:pos="709" w:leader="none"/>
          <w:tab w:val="left" w:pos="900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Доходы от приватизации имущества,</w:t>
      </w:r>
      <w:r>
        <w:rPr>
          <w:rFonts w:ascii="Times New Roman" w:hAnsi="Times New Roman" w:eastAsia="Times New Roman" w:cs="Times New Roman"/>
          <w:b/>
          <w:i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находящегося в собственности городских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 округо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поступили в размере 44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 125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руб., что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1,5 раза превышает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план отчетного периода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(29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 334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руб.) и составляет 87,2% к плану года (50 575,8 тыс. руб.)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Относительно аналогичного периода прошлого года поступления составили 55,2%.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0" w:leader="none"/>
          <w:tab w:val="left" w:pos="709" w:leader="none"/>
          <w:tab w:val="left" w:pos="900" w:leader="none"/>
        </w:tabs>
        <w:rPr>
          <w:rFonts w:ascii="Times New Roman" w:hAnsi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том числе: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contextualSpacing w:val="0"/>
        <w:ind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- доходы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результате реализации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муниципального имущества на торгах в порядке,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установленном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Федеральным законом от 21.12.2001 № 178-ФЗ «О приватизации государственного и муниципального имущества»,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поступили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размере 23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 822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,5 тыс.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что в 2 раза превышает план отчетного периода (11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 681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,3 тыс. руб.) и составляет 112,4% к плану года (21 192,9 тыс. руб.).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Перевыполнение плана обусловлено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реализацией долей в праве на земельные участки по цене выше запланированной.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40" w:lineRule="auto"/>
        <w:tabs>
          <w:tab w:val="left" w:pos="0" w:leader="none"/>
          <w:tab w:val="left" w:pos="709" w:leader="none"/>
          <w:tab w:val="left" w:pos="900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оходы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р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езультате реализации муниципального имущества в порядке, установленном Федеральным законом от 22.07.2008 № 159-ФЗ «Об особенностях отчуждения недвижимого имущества, находящегося в государственной собственн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 поступили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размере 18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 996,9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что составляет 108,6% к плану отчетного периода (17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 493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,9 тыс. руб.) и 65,0% к плану года (29 223,8 тыс. руб.).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Пере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выполнение плана отчетного периода обусловлено досрочной оплатой по договорам купли-продажи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рочие неналоговые доходы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оступили в сумме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190 630,6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руб., что в 3,1 раз превышает план отчетног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периода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(61 300,0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тыс. руб.) и составляет 136,6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 п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лану года (139 604,7 тыс. руб.)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Относительно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аналогичного периода прошлого года поступления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 составили 132,9%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</w:r>
    </w:p>
    <w:p>
      <w:pPr>
        <w:ind w:firstLine="709"/>
        <w:jc w:val="both"/>
        <w:spacing w:line="240" w:lineRule="auto"/>
        <w:tabs>
          <w:tab w:val="left" w:pos="0" w:leader="none"/>
          <w:tab w:val="left" w:pos="709" w:leader="none"/>
        </w:tabs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 том числе: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  <w:u w:val="non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i w:val="0"/>
          <w:i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восстановител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ьная стоимость зеленых насаждений,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администрируемая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управлением по экологии и природопользовани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ю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поступила в сумме</w:t>
      </w:r>
      <w:r>
        <w:rPr>
          <w:rFonts w:ascii="Times New Roman" w:hAnsi="Times New Roman" w:eastAsia="Times New Roman" w:cs="Times New Roman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 94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 944</w:t>
      </w:r>
      <w:r>
        <w:rPr>
          <w:rFonts w:ascii="Times New Roman" w:hAnsi="Times New Roman" w:eastAsia="Times New Roman" w:cs="Times New Roman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,5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руб.,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что в 5,9 раза превышает план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отчетного периода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(16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100,0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руб.)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и в 1,5 раза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план года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(62 240,6 тыс. руб.)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Относительно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аналогичного периода прошлого года поступления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  <w:u w:val="none"/>
        </w:rPr>
        <w:t xml:space="preserve"> увеличились в 1,5 раза.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tabs>
          <w:tab w:val="num" w:pos="0" w:leader="none"/>
          <w:tab w:val="left" w:pos="709" w:leader="none"/>
        </w:tabs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Перевыполнение плана обусловлено поступлениями</w:t>
      </w:r>
      <w:r>
        <w:rPr>
          <w:rFonts w:ascii="Times New Roman" w:hAnsi="Times New Roman" w:eastAsia="Times New Roman" w:cs="Times New Roman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 от крупных предприятий в сфере строительства</w:t>
      </w:r>
      <w:r>
        <w:rPr>
          <w:rFonts w:ascii="Times New Roman" w:hAnsi="Times New Roman" w:eastAsia="Times New Roman" w:cs="Times New Roman"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tabs>
          <w:tab w:val="left" w:pos="0" w:leader="none"/>
        </w:tabs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-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лата за фактическое пользование земельными участка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до раз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граничения государственной собственности на землю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администрируемая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департаментом земельных отношений,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поступила в сумме 95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425,2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тыс. руб.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, что на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в 2,1 раза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превыш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ает план отчетного периода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45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8"/>
          <w:highlight w:val="white"/>
          <w:u w:val="none"/>
          <w:vertAlign w:val="baseline"/>
        </w:rPr>
        <w:t xml:space="preserve"> 200,0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тыс.руб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.) и составляет 123,3% к плану года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(77 364,1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тыс. руб.)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Относительно аналогично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го периода прошлого года поступления увеличились в 2,5 раза.</w:t>
      </w:r>
      <w:r>
        <w:rPr>
          <w:rFonts w:ascii="Times New Roman" w:hAnsi="Times New Roman" w:eastAsia="Times New Roman" w:cs="Times New Roman"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709"/>
        <w:jc w:val="both"/>
        <w:spacing w:before="0" w:after="0" w:line="240" w:lineRule="auto"/>
        <w:tabs>
          <w:tab w:val="left" w:pos="0" w:leader="none"/>
        </w:tabs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  <w:t xml:space="preserve">Увеличение поступлений связано с систематич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  <w:t xml:space="preserve">ским выявлением земельных участков, используемых без оформленных прав, и выдачей разрешений на размещение объектов, а также с погашением задолженности за пользование земельным участком, расположенным по адресу: ул. Уральская, 93, в сумме 18 146,8 тыс. руб.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contextualSpacing w:val="0"/>
        <w:ind w:left="0" w:right="0" w:firstLine="0"/>
        <w:jc w:val="both"/>
        <w:spacing w:before="0" w:after="0" w:line="240" w:lineRule="auto"/>
        <w:tabs>
          <w:tab w:val="left" w:pos="0" w:leader="none"/>
        </w:tabs>
        <w:rPr>
          <w:rFonts w:ascii="Times New Roman" w:hAnsi="Times New Roman" w:cs="Times New Roman"/>
          <w:b w:val="0"/>
          <w:bCs w:val="0"/>
          <w:i w:val="0"/>
          <w:color w:val="c0000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color w:val="c00000"/>
          <w:sz w:val="28"/>
          <w:szCs w:val="28"/>
          <w:highlight w:val="none"/>
        </w:rPr>
      </w:r>
    </w:p>
    <w:p>
      <w:pPr>
        <w:pStyle w:val="1305"/>
        <w:ind w:left="0" w:firstLine="709"/>
        <w:jc w:val="center"/>
        <w:spacing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2.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ИСПОЛНЕНИЕ БЮДЖЕТА ПО РАСХОДАМ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white"/>
        </w:rPr>
      </w:r>
    </w:p>
    <w:p>
      <w:pPr>
        <w:pStyle w:val="1305"/>
        <w:ind w:firstLine="360"/>
        <w:jc w:val="center"/>
        <w:spacing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  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приложение 2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 настоящей записке)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spacing w:line="240" w:lineRule="auto"/>
        <w:tabs>
          <w:tab w:val="left" w:pos="7938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305"/>
        <w:ind w:firstLine="709"/>
        <w:spacing w:line="240" w:lineRule="auto"/>
        <w:tabs>
          <w:tab w:val="left" w:pos="7938" w:leader="none"/>
        </w:tabs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Кассовый расход бюджета (без учёта зарезервированных средств: на исполнение судебных исков, резервного фонда администрации города) 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 августа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составил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35 835 933,7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руб.,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ли </w:t>
      </w:r>
      <w:r>
        <w:rPr>
          <w:rFonts w:ascii="Times New Roman" w:hAnsi="Times New Roman" w:eastAsia="Times New Roman" w:cs="Times New Roman"/>
          <w:b/>
          <w:bCs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97,0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 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от кассового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ана отчетного периода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36 927 914,9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уб.)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50,2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%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от годовых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ассигнований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71 321 068,4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тыс. руб.).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Исполнение по расходам за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январ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ь-июль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2025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года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составляло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32 243 405,5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тыс.руб.,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или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96,6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от кассового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плана отчетного периода 2025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года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47,5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от 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одовы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ассигнований.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    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1305"/>
        <w:ind w:firstLine="709"/>
        <w:spacing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Расходная часть бюджета 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январ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ь-июль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2026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года в разрезе источников финансирования исполнена следующим образом.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305"/>
        <w:ind w:firstLine="709"/>
        <w:spacing w:line="240" w:lineRule="atLeast"/>
        <w:rPr>
          <w:rFonts w:ascii="Times New Roman" w:hAnsi="Times New Roman" w:cs="Times New Roman"/>
          <w:color w:val="000000" w:themeColor="text1"/>
          <w:sz w:val="20"/>
          <w:szCs w:val="16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16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16"/>
          <w:highlight w:val="white"/>
        </w:rPr>
      </w:r>
      <w:r>
        <w:rPr>
          <w:rFonts w:ascii="Times New Roman" w:hAnsi="Times New Roman" w:cs="Times New Roman"/>
          <w:color w:val="000000" w:themeColor="text1"/>
          <w:sz w:val="20"/>
          <w:szCs w:val="16"/>
          <w:highlight w:val="white"/>
        </w:rPr>
      </w:r>
    </w:p>
    <w:p>
      <w:pPr>
        <w:ind w:firstLine="709"/>
        <w:spacing w:line="240" w:lineRule="atLeast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highlight w:val="white"/>
          <w:u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2.1. за счет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средств местного бюджета на выполнение собственных полномочий (без учёта зарезервированных средств)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- кассовое исполнение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составляет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20 386 912,6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ыс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или 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96,2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кассового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плана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отч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етного периода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0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тыс. 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49,9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годовых ассигнований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Исполнение расходов                      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январь-июль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025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года составляло 18 465 778,3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тыс. руб., или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95,2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от кассового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плана отчетного периода 2025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года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44,8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от годовых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ассигновани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  <w:highlight w:val="white"/>
          <w:u w:val="none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  <w:highlight w:val="white"/>
          <w:u w:val="none"/>
        </w:rPr>
        <w:t xml:space="preserve">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highlight w:val="white"/>
          <w:u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highlight w:val="white"/>
          <w:u w:val="none"/>
        </w:rPr>
      </w:r>
    </w:p>
    <w:p>
      <w:pPr>
        <w:pStyle w:val="1305"/>
        <w:ind w:firstLine="709"/>
        <w:spacing w:line="240" w:lineRule="atLeast"/>
        <w:tabs>
          <w:tab w:val="right" w:pos="10488" w:leader="none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highlight w:val="white"/>
          <w:u w:val="none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  <w:highlight w:val="white"/>
          <w:u w:val="none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16"/>
          <w:szCs w:val="20"/>
          <w:highlight w:val="white"/>
          <w:u w:val="none"/>
        </w:rPr>
        <w:t xml:space="preserve">  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  <w:highlight w:val="white"/>
          <w:u w:val="none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  <w:highlight w:val="white"/>
          <w:u w:val="none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highlight w:val="white"/>
          <w:u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highlight w:val="white"/>
          <w:u w:val="none"/>
        </w:rPr>
      </w:r>
    </w:p>
    <w:p>
      <w:pPr>
        <w:ind w:firstLine="709"/>
        <w:spacing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2.2. за счет средств, выделенных на исполнение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государственных полномочий, -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кассовое исполнение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составляет</w:t>
      </w:r>
      <w:r>
        <w:rPr>
          <w:rFonts w:ascii="Times New Roman" w:hAnsi="Times New Roman" w:eastAsia="Times New Roman" w:cs="Times New Roman"/>
          <w:color w:val="000000" w:themeColor="text1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11 646 952,0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ыс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. 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или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99,8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      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от кассового плана отчетного периода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11 671 618,2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тыс.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 62,1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годовых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ассигнований.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Исполнение расходов 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январь-июль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2025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года составляло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10 363 819,7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ыс.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руб.,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или 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99,0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от кассовог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о плана отчетного периода 2025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года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59,8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 %                          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от годовых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ссигнований.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</w:r>
    </w:p>
    <w:p>
      <w:pPr>
        <w:pStyle w:val="1305"/>
        <w:ind w:firstLine="709"/>
        <w:spacing w:line="240" w:lineRule="atLeast"/>
        <w:rPr>
          <w:rFonts w:ascii="Times New Roman" w:hAnsi="Times New Roman" w:cs="Times New Roman"/>
          <w:color w:val="000000" w:themeColor="text1"/>
          <w:sz w:val="16"/>
          <w:szCs w:val="16"/>
          <w:highlight w:val="white"/>
          <w:u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16"/>
          <w:szCs w:val="16"/>
          <w:highlight w:val="white"/>
          <w:u w:val="non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  <w:u w:val="none"/>
        </w:rPr>
      </w:r>
      <w:r>
        <w:rPr>
          <w:rFonts w:ascii="Times New Roman" w:hAnsi="Times New Roman" w:cs="Times New Roman"/>
          <w:color w:val="000000" w:themeColor="text1"/>
          <w:sz w:val="16"/>
          <w:szCs w:val="16"/>
          <w:highlight w:val="white"/>
          <w:u w:val="none"/>
        </w:rPr>
      </w:r>
    </w:p>
    <w:p>
      <w:pPr>
        <w:pStyle w:val="1305"/>
        <w:ind w:firstLine="720"/>
        <w:spacing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  <w:u w:val="none"/>
        </w:rPr>
        <w:t xml:space="preserve">2.3. за счет средств, переданных из краевого бюджета на выполнение полномочий городского округа,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кассовое исполнение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составляет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3 802 069,1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                    тыс. руб.,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или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93,4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от кассового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плана отчетного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периода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–4 071 834,5т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ыс. руб.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32,5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от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одовых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ассигнований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Исполнение расходов 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январ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ь-июль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2025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года составляло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3 413 807,5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тыс. руб., или </w:t>
      </w:r>
      <w:r>
        <w:rPr>
          <w:rFonts w:ascii="Times New Roman" w:hAnsi="Times New Roman" w:eastAsia="Times New Roman" w:cs="Times New Roman"/>
          <w:b/>
          <w:bCs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97,1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u w:val="none"/>
        </w:rPr>
        <w:t xml:space="preserve">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от кассового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плана отчетного периода 2025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года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 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8"/>
          <w:szCs w:val="28"/>
          <w:u w:val="none"/>
          <w:vertAlign w:val="baseline"/>
        </w:rPr>
        <w:t xml:space="preserve">36,6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u w:val="none"/>
        </w:rPr>
        <w:t xml:space="preserve">%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от годовых ассигнований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</w:r>
    </w:p>
    <w:p>
      <w:pPr>
        <w:pStyle w:val="1305"/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305"/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Расходная часть бюджета 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январь-июль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026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года по источникам финансирования в разрезе главных распорядителей бюджетных средств исполнена следующим образом.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0"/>
        <w:spacing w:line="240" w:lineRule="auto"/>
        <w:rPr>
          <w:rFonts w:ascii="Times New Roman" w:hAnsi="Times New Roman" w:cs="Times New Roman"/>
          <w:color w:val="c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2.1. Исполнение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расходов местного бюджета: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1305"/>
        <w:spacing w:line="240" w:lineRule="auto"/>
        <w:tabs>
          <w:tab w:val="num" w:pos="720" w:leader="none"/>
        </w:tabs>
        <w:rPr>
          <w:rFonts w:ascii="Times New Roman" w:hAnsi="Times New Roman" w:cs="Times New Roman"/>
          <w:b/>
          <w:color w:val="000000" w:themeColor="text1"/>
          <w:sz w:val="16"/>
          <w:szCs w:val="16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16"/>
          <w:szCs w:val="16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16"/>
          <w:szCs w:val="16"/>
          <w:highlight w:val="white"/>
        </w:rPr>
      </w:r>
    </w:p>
    <w:p>
      <w:pPr>
        <w:pStyle w:val="1305"/>
        <w:ind w:firstLine="709"/>
        <w:spacing w:line="240" w:lineRule="auto"/>
        <w:tabs>
          <w:tab w:val="num" w:pos="720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  <w:t xml:space="preserve">выше 95,0 %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обеспечено следующими главными распорядителями бюджетных средств: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spacing w:line="240" w:lineRule="auto"/>
        <w:tabs>
          <w:tab w:val="num" w:pos="720" w:leader="none"/>
        </w:tabs>
        <w:rPr>
          <w:rFonts w:ascii="Times New Roman" w:hAnsi="Times New Roman" w:cs="Times New Roman"/>
          <w:color w:val="c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избирательная комиссия Пермского края – на уровне 100,0%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департаментом образования – на уровне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100,0%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;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3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администрацией Орджоникидзевского района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100,0%;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8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ом социальной политики – на уровне 100,0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управления капитального строительства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99,9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администрацией города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99,9%;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комитетом по физкультуре и спорту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99,9%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8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администрацией Свердловского района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99,8%;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администрацией Дзержинского района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99,8%;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8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администрацией Ленинского района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99,6%;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9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c0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контрольным департаментом – на уровне 99,5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c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white"/>
        </w:rPr>
      </w:r>
    </w:p>
    <w:p>
      <w:pPr>
        <w:numPr>
          <w:ilvl w:val="0"/>
          <w:numId w:val="11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администрации Индустриального района – на уровне 99,4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 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86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c0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ом финансов – на уровне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99,2%;</w:t>
      </w:r>
      <w:r>
        <w:rPr>
          <w:rFonts w:ascii="Times New Roman" w:hAnsi="Times New Roman" w:cs="Times New Roman"/>
          <w:color w:val="c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white"/>
        </w:rPr>
      </w:r>
    </w:p>
    <w:p>
      <w:pPr>
        <w:numPr>
          <w:ilvl w:val="0"/>
          <w:numId w:val="18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контрольно–счетной палаты города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98,9%;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158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имущественных отношений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98,3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86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департаментом общественной безопасности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98,3%;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203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департаментом культуры и молодежной политики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 98,1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143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департаментом земельных отношений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97,8%;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0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епартаментом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экономики и промышленной политики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97,1%;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8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управлением жилищных отношений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96,5%;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86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управлением по экологии и природопользованию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96,1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86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администраци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ей Кировского района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95,9%;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7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транспорта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95,6%;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305"/>
        <w:numPr>
          <w:ilvl w:val="0"/>
          <w:numId w:val="124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c00000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c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администрации Мотовилихинского района – на уровне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95,5%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c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white"/>
        </w:rPr>
      </w:r>
    </w:p>
    <w:p>
      <w:pPr>
        <w:ind w:left="0" w:firstLine="0"/>
        <w:spacing w:line="240" w:lineRule="auto"/>
        <w:rPr>
          <w:rFonts w:ascii="Times New Roman" w:hAnsi="Times New Roman" w:cs="Times New Roman"/>
          <w:color w:val="c00000"/>
          <w:sz w:val="16"/>
          <w:szCs w:val="16"/>
          <w:highlight w:val="white"/>
        </w:rPr>
      </w:pPr>
      <w:r>
        <w:rPr>
          <w:rFonts w:ascii="Times New Roman" w:hAnsi="Times New Roman" w:eastAsia="Times New Roman" w:cs="Times New Roman"/>
          <w:color w:val="c00000"/>
          <w:sz w:val="16"/>
          <w:szCs w:val="16"/>
          <w:highlight w:val="none"/>
        </w:rPr>
      </w:r>
      <w:r>
        <w:rPr>
          <w:rFonts w:ascii="Times New Roman" w:hAnsi="Times New Roman" w:cs="Times New Roman"/>
          <w:color w:val="c00000"/>
          <w:sz w:val="16"/>
          <w:szCs w:val="16"/>
          <w:highlight w:val="white"/>
        </w:rPr>
      </w:r>
      <w:r>
        <w:rPr>
          <w:rFonts w:ascii="Times New Roman" w:hAnsi="Times New Roman" w:cs="Times New Roman"/>
          <w:color w:val="c00000"/>
          <w:sz w:val="16"/>
          <w:szCs w:val="16"/>
          <w:highlight w:val="white"/>
        </w:rPr>
      </w:r>
    </w:p>
    <w:p>
      <w:pPr>
        <w:pStyle w:val="1305"/>
        <w:spacing w:line="240" w:lineRule="auto"/>
        <w:tabs>
          <w:tab w:val="num" w:pos="720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c00000"/>
          <w:sz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highlight w:val="white"/>
        </w:rPr>
        <w:t xml:space="preserve">    ниже уровня 95,0 %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сложилось исполнение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 следующих главных распорядителей бюджетных средств: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spacing w:line="240" w:lineRule="auto"/>
        <w:tabs>
          <w:tab w:val="num" w:pos="720" w:leader="none"/>
        </w:tabs>
        <w:rPr>
          <w:rFonts w:ascii="Times New Roman" w:hAnsi="Times New Roman" w:cs="Times New Roman"/>
          <w:color w:val="c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</w:p>
    <w:p>
      <w:pPr>
        <w:numPr>
          <w:ilvl w:val="0"/>
          <w:numId w:val="17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c0000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департамента дорог и благоустройства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– на уровне 94,6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%;</w:t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</w:p>
    <w:p>
      <w:pPr>
        <w:numPr>
          <w:ilvl w:val="0"/>
          <w:numId w:val="17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Пермской городской Думы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91,4%;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7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администраци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п. Новые Ляды – на уровне 89,2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градостроительства и архитектуры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85,3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17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департамента жилищно-коммунального хозяйства – на уровне  77,5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7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305"/>
        <w:spacing w:line="240" w:lineRule="auto"/>
        <w:tabs>
          <w:tab w:val="num" w:pos="900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c00000"/>
          <w:sz w:val="28"/>
          <w:szCs w:val="28"/>
        </w:rPr>
        <w:t xml:space="preserve">     </w:t>
      </w:r>
      <w:r>
        <w:rPr>
          <w:rFonts w:ascii="Times New Roman" w:hAnsi="Times New Roman" w:eastAsia="Times New Roman" w:cs="Times New Roman"/>
          <w:color w:val="c00000"/>
          <w:sz w:val="28"/>
          <w:szCs w:val="28"/>
          <w:highlight w:val="none"/>
        </w:rPr>
        <w:t xml:space="preserve">   </w:t>
      </w:r>
      <w:r>
        <w:rPr>
          <w:rFonts w:ascii="Times New Roman" w:hAnsi="Times New Roman" w:eastAsia="Times New Roman" w:cs="Times New Roman"/>
          <w:color w:val="c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c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2.2. Исполнение расходов по переданным государственным полномочиям: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spacing w:line="240" w:lineRule="auto"/>
        <w:tabs>
          <w:tab w:val="num" w:pos="900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spacing w:line="240" w:lineRule="auto"/>
        <w:tabs>
          <w:tab w:val="num" w:pos="900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          выше 95,0 %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обеспечено следующими главными распорядителями бюджетных средств: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102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департаментом культуры и молодежной политики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0,0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305"/>
        <w:numPr>
          <w:ilvl w:val="0"/>
          <w:numId w:val="207"/>
        </w:numPr>
        <w:spacing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департаментом образования – на уровне  100,0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%;</w:t>
      </w:r>
      <w:r>
        <w:rPr>
          <w:rFonts w:ascii="Times New Roman" w:hAnsi="Times New Roman" w:cs="Times New Roman"/>
          <w:color w:val="c00000"/>
          <w:sz w:val="28"/>
          <w:szCs w:val="28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</w:p>
    <w:p>
      <w:pPr>
        <w:numPr>
          <w:ilvl w:val="0"/>
          <w:numId w:val="206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департаментом жилищно-коммунального хозяйства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100,0%;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133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департаментом общественной безопасности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100,0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206"/>
        </w:numPr>
        <w:spacing w:line="240" w:lineRule="auto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комитетом по физкультуре и спорту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 100,0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</w:r>
    </w:p>
    <w:p>
      <w:pPr>
        <w:numPr>
          <w:ilvl w:val="0"/>
          <w:numId w:val="208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управления жилищных отношений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99,2%;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212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департаментом транспорта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98,6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209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департамента дорог и благоустройства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97,6%;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numPr>
          <w:ilvl w:val="0"/>
          <w:numId w:val="213"/>
        </w:numPr>
        <w:spacing w:line="240" w:lineRule="auto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администрацией Индустриального района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97,0%;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</w:r>
    </w:p>
    <w:p>
      <w:pPr>
        <w:numPr>
          <w:ilvl w:val="0"/>
          <w:numId w:val="102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управлением записи актов гражданского состояния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95,1%;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firstLine="349"/>
        <w:jc w:val="both"/>
        <w:spacing w:line="240" w:lineRule="auto"/>
        <w:rPr>
          <w:rFonts w:ascii="Times New Roman" w:hAnsi="Times New Roman" w:cs="Times New Roman"/>
          <w:color w:val="c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</w:p>
    <w:p>
      <w:pPr>
        <w:contextualSpacing w:val="0"/>
        <w:ind w:left="0" w:firstLine="349"/>
        <w:jc w:val="both"/>
        <w:spacing w:line="240" w:lineRule="auto"/>
        <w:rPr>
          <w:rFonts w:ascii="Times New Roman" w:hAnsi="Times New Roman" w:cs="Times New Roman"/>
          <w:color w:val="c0000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c00000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   ниже 95,0 %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сложилось исполнение у следующих главных распорядителей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                                 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юджетных средств:</w:t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</w:p>
    <w:p>
      <w:pPr>
        <w:pStyle w:val="1305"/>
        <w:numPr>
          <w:ilvl w:val="0"/>
          <w:numId w:val="129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администраци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Свердловского района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уровне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93,6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305"/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администрации Дзержинского района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92,4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администрации Кировского района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90,5%;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numPr>
          <w:ilvl w:val="0"/>
          <w:numId w:val="10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администрации Орджоникидзевского района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89,7%;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305"/>
        <w:numPr>
          <w:ilvl w:val="0"/>
          <w:numId w:val="112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администрации п. Новые Ляды – на уровне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87,5%;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numPr>
          <w:ilvl w:val="0"/>
          <w:numId w:val="211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администрации Мотовилихинского района – 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 уровне 85,4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numPr>
          <w:ilvl w:val="0"/>
          <w:numId w:val="102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управления по экологии и природопользованию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78,9%;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305"/>
        <w:numPr>
          <w:ilvl w:val="0"/>
          <w:numId w:val="109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департамент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ом социальной политики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76,8%;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1305"/>
        <w:numPr>
          <w:ilvl w:val="0"/>
          <w:numId w:val="111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дминистрации Ленинского района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74,8%.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numPr>
          <w:ilvl w:val="0"/>
          <w:numId w:val="210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  <w:t xml:space="preserve">контрольного департамента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на уровне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55,8%;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left="360" w:firstLine="0"/>
        <w:spacing w:line="240" w:lineRule="auto"/>
        <w:rPr>
          <w:rFonts w:ascii="Times New Roman" w:hAnsi="Times New Roman" w:cs="Times New Roman"/>
          <w:color w:val="c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  <w:highlight w:val="none"/>
        </w:rPr>
      </w:r>
    </w:p>
    <w:p>
      <w:pPr>
        <w:ind w:left="709" w:firstLine="0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2.3. Исполнение расходов по средствам, переданным из краевого бюджета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1305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          на выполнение полномочий городского округа: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firstLine="709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выше 95,0 %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обеспечено следующими главными распорядителями бюджетных средств: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16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управлением по экологии и природопользованию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на уровне  100,0%;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numPr>
          <w:ilvl w:val="0"/>
          <w:numId w:val="21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департаментом культуры и молодежной политики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100,0%;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113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c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департаментом образования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на уровне  100,0%;</w:t>
      </w:r>
      <w:r>
        <w:rPr>
          <w:rFonts w:ascii="Times New Roman" w:hAnsi="Times New Roman" w:cs="Times New Roman"/>
          <w:color w:val="c00000"/>
          <w:sz w:val="28"/>
          <w:szCs w:val="28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</w:p>
    <w:p>
      <w:pPr>
        <w:pStyle w:val="1305"/>
        <w:numPr>
          <w:ilvl w:val="0"/>
          <w:numId w:val="113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управлени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капитального строительства – на уровне  100,0%;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1305"/>
        <w:numPr>
          <w:ilvl w:val="0"/>
          <w:numId w:val="114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департамент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дорог и благоустройства – на уровне 100,0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305"/>
        <w:numPr>
          <w:ilvl w:val="0"/>
          <w:numId w:val="11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департамент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ом социальной политики – на уровне  100,0%;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numPr>
          <w:ilvl w:val="0"/>
          <w:numId w:val="16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комитетом по физкультуре и спорту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 на уровне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numPr>
          <w:ilvl w:val="0"/>
          <w:numId w:val="167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управления жилищных отношений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98,7%.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c00000"/>
          <w:sz w:val="16"/>
          <w:szCs w:val="16"/>
        </w:rPr>
        <w:suppressLineNumbers w:val="0"/>
      </w:pPr>
      <w:r>
        <w:rPr>
          <w:rFonts w:ascii="Times New Roman" w:hAnsi="Times New Roman" w:eastAsia="Times New Roman" w:cs="Times New Roman"/>
          <w:color w:val="c00000"/>
          <w:sz w:val="16"/>
          <w:szCs w:val="16"/>
          <w:highlight w:val="none"/>
        </w:rPr>
      </w:r>
      <w:r>
        <w:rPr>
          <w:rFonts w:ascii="Times New Roman" w:hAnsi="Times New Roman" w:cs="Times New Roman"/>
          <w:color w:val="c00000"/>
          <w:sz w:val="16"/>
          <w:szCs w:val="16"/>
        </w:rPr>
      </w:r>
      <w:r>
        <w:rPr>
          <w:rFonts w:ascii="Times New Roman" w:hAnsi="Times New Roman" w:cs="Times New Roman"/>
          <w:color w:val="c00000"/>
          <w:sz w:val="16"/>
          <w:szCs w:val="16"/>
        </w:rPr>
      </w:r>
    </w:p>
    <w:p>
      <w:pPr>
        <w:contextualSpacing w:val="0"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ниже 95,0 %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сложилось исполнение у следующего главного распорядителя 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юджетных средств: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numPr>
          <w:ilvl w:val="0"/>
          <w:numId w:val="215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епартамента транспорта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 на уровне 65,2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%;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numPr>
          <w:ilvl w:val="0"/>
          <w:numId w:val="221"/>
        </w:numPr>
        <w:contextualSpacing w:val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департаментом общественной безопасности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84,6%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numPr>
          <w:ilvl w:val="0"/>
          <w:numId w:val="219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департаментом жилищно-коммунального хозяйства – на уровне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27,5%;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left="0" w:firstLine="0"/>
        <w:jc w:val="both"/>
        <w:spacing w:before="0" w:after="0" w:line="240" w:lineRule="auto"/>
        <w:rPr>
          <w:rFonts w:ascii="Times New Roman" w:hAnsi="Times New Roman" w:cs="Times New Roman"/>
          <w:color w:val="c00000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c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  <w:r>
        <w:rPr>
          <w:rFonts w:ascii="Times New Roman" w:hAnsi="Times New Roman" w:cs="Times New Roman"/>
          <w:color w:val="c00000"/>
          <w:sz w:val="28"/>
          <w:szCs w:val="28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663" w:right="567" w:bottom="249" w:left="794" w:header="709" w:footer="482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7"/>
      <w:jc w:val="right"/>
    </w:pPr>
    <w:fldSimple w:instr="PAGE \* MERGEFORMAT">
      <w:r>
        <w:t xml:space="preserve">1</w:t>
      </w:r>
    </w:fldSimple>
    <w:r/>
    <w:r/>
  </w:p>
  <w:p>
    <w:pPr>
      <w:pStyle w:val="1157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11"/>
      <w:rPr>
        <w:rStyle w:val="1313"/>
        <w:sz w:val="23"/>
        <w:szCs w:val="23"/>
      </w:rPr>
      <w:framePr w:wrap="around" w:vAnchor="text" w:hAnchor="margin" w:xAlign="right" w:y="1"/>
    </w:pPr>
    <w:r>
      <w:rPr>
        <w:rStyle w:val="1313"/>
        <w:sz w:val="23"/>
        <w:szCs w:val="23"/>
      </w:rPr>
      <w:fldChar w:fldCharType="begin"/>
    </w:r>
    <w:r>
      <w:rPr>
        <w:rStyle w:val="1313"/>
        <w:sz w:val="23"/>
        <w:szCs w:val="23"/>
      </w:rPr>
      <w:instrText xml:space="preserve">PAGE  </w:instrText>
    </w:r>
    <w:r>
      <w:rPr>
        <w:rStyle w:val="1313"/>
        <w:sz w:val="23"/>
        <w:szCs w:val="23"/>
      </w:rPr>
      <w:fldChar w:fldCharType="end"/>
    </w:r>
    <w:r>
      <w:rPr>
        <w:rStyle w:val="1313"/>
        <w:sz w:val="23"/>
        <w:szCs w:val="23"/>
      </w:rPr>
    </w:r>
    <w:r>
      <w:rPr>
        <w:rStyle w:val="1313"/>
        <w:sz w:val="23"/>
        <w:szCs w:val="23"/>
      </w:rPr>
    </w:r>
  </w:p>
  <w:p>
    <w:pPr>
      <w:pStyle w:val="1311"/>
      <w:ind w:right="360"/>
      <w:rPr>
        <w:sz w:val="23"/>
        <w:szCs w:val="23"/>
      </w:rPr>
    </w:pPr>
    <w:r>
      <w:rPr>
        <w:sz w:val="23"/>
        <w:szCs w:val="23"/>
      </w:rPr>
    </w:r>
    <w:r>
      <w:rPr>
        <w:sz w:val="23"/>
        <w:szCs w:val="23"/>
      </w:rPr>
    </w:r>
    <w:r>
      <w:rPr>
        <w:sz w:val="23"/>
        <w:szCs w:val="23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411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131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85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57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291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01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73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451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171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firstLine="0"/>
        <w:tabs>
          <w:tab w:val="num" w:pos="1724" w:leader="none"/>
        </w:tabs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  <w:tabs>
          <w:tab w:val="num" w:pos="108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  <w:tabs>
          <w:tab w:val="num" w:pos="180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3"/>
      <w:numFmt w:val="decimal"/>
      <w:isLgl w:val="false"/>
      <w:suff w:val="tab"/>
      <w:lvlText w:val="%1.%2."/>
      <w:lvlJc w:val="left"/>
      <w:pPr>
        <w:ind w:left="125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97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5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69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3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1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952" w:hanging="21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3"/>
      <w:numFmt w:val="decimal"/>
      <w:isLgl w:val="false"/>
      <w:suff w:val="tab"/>
      <w:lvlText w:val="%1.%2."/>
      <w:lvlJc w:val="left"/>
      <w:pPr>
        <w:ind w:left="2055" w:hanging="1335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15" w:hanging="1335"/>
      </w:pPr>
      <w:rPr>
        <w:b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75" w:hanging="1335"/>
      </w:pPr>
      <w:rPr>
        <w:b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135" w:hanging="1335"/>
      </w:pPr>
      <w:rPr>
        <w:b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495" w:hanging="1335"/>
      </w:pPr>
      <w:rPr>
        <w:b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55" w:hanging="1335"/>
      </w:pPr>
      <w:rPr>
        <w:b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15" w:hanging="1335"/>
      </w:pPr>
      <w:rPr>
        <w:b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575" w:hanging="1335"/>
      </w:pPr>
      <w:rPr>
        <w:b/>
        <w:color w:val="00000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3"/>
      <w:numFmt w:val="decimal"/>
      <w:isLgl w:val="false"/>
      <w:suff w:val="tab"/>
      <w:lvlText w:val="%1.%2."/>
      <w:lvlJc w:val="left"/>
      <w:pPr>
        <w:ind w:left="126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9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960" w:hanging="216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64" w:hanging="284"/>
        <w:tabs>
          <w:tab w:val="num" w:pos="464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02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42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662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02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22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262" w:hanging="360"/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95" w:hanging="360"/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35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55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95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15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55" w:hanging="360"/>
      </w:pPr>
      <w:rPr>
        <w:rFonts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04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4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6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0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2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3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502" w:hanging="360"/>
        <w:tabs>
          <w:tab w:val="num" w:pos="502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  <w:tabs>
          <w:tab w:val="num" w:pos="108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  <w:tabs>
          <w:tab w:val="num" w:pos="252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  <w:tabs>
          <w:tab w:val="num" w:pos="324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  <w:tabs>
          <w:tab w:val="num" w:pos="396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  <w:tabs>
          <w:tab w:val="num" w:pos="468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  <w:tabs>
          <w:tab w:val="num" w:pos="540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  <w:tabs>
          <w:tab w:val="num" w:pos="6120" w:leader="none"/>
        </w:tabs>
      </w:pPr>
      <w:rPr>
        <w:rFonts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8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9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0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4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5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6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7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8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19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0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abstractNum w:abstractNumId="2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260" w:hanging="360"/>
        <w:tabs>
          <w:tab w:val="num" w:pos="12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980" w:hanging="360"/>
        <w:tabs>
          <w:tab w:val="num" w:pos="198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700" w:hanging="360"/>
        <w:tabs>
          <w:tab w:val="num" w:pos="270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420" w:hanging="360"/>
        <w:tabs>
          <w:tab w:val="num" w:pos="34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140" w:hanging="360"/>
        <w:tabs>
          <w:tab w:val="num" w:pos="414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860" w:hanging="360"/>
        <w:tabs>
          <w:tab w:val="num" w:pos="486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580" w:hanging="360"/>
        <w:tabs>
          <w:tab w:val="num" w:pos="55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300" w:hanging="360"/>
        <w:tabs>
          <w:tab w:val="num" w:pos="6300" w:leader="none"/>
        </w:tabs>
      </w:pPr>
      <w:rPr>
        <w:rFonts w:ascii="Wingdings" w:hAnsi="Wingdings"/>
      </w:rPr>
    </w:lvl>
  </w:abstractNum>
  <w:num w:numId="1">
    <w:abstractNumId w:val="16"/>
  </w:num>
  <w:num w:numId="2">
    <w:abstractNumId w:val="31"/>
  </w:num>
  <w:num w:numId="3">
    <w:abstractNumId w:val="8"/>
    <w:lvlOverride w:ilvl="0">
      <w:startOverride w:val="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3"/>
  </w:num>
  <w:num w:numId="6">
    <w:abstractNumId w:val="8"/>
  </w:num>
  <w:num w:numId="7">
    <w:abstractNumId w:val="8"/>
    <w:lvlOverride w:ilvl="0">
      <w:startOverride w:val="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25"/>
  </w:num>
  <w:num w:numId="10">
    <w:abstractNumId w:val="12"/>
  </w:num>
  <w:num w:numId="11">
    <w:abstractNumId w:val="26"/>
    <w:lvlOverride w:ilvl="0">
      <w:startOverride w:val="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4"/>
  </w:num>
  <w:num w:numId="14">
    <w:abstractNumId w:val="27"/>
  </w:num>
  <w:num w:numId="15">
    <w:abstractNumId w:val="29"/>
  </w:num>
  <w:num w:numId="16">
    <w:abstractNumId w:val="14"/>
  </w:num>
  <w:num w:numId="17">
    <w:abstractNumId w:val="6"/>
  </w:num>
  <w:num w:numId="18">
    <w:abstractNumId w:val="17"/>
  </w:num>
  <w:num w:numId="19">
    <w:abstractNumId w:val="11"/>
  </w:num>
  <w:num w:numId="20">
    <w:abstractNumId w:val="23"/>
  </w:num>
  <w:num w:numId="21">
    <w:abstractNumId w:val="20"/>
  </w:num>
  <w:num w:numId="22">
    <w:abstractNumId w:val="15"/>
  </w:num>
  <w:num w:numId="23">
    <w:abstractNumId w:val="1"/>
  </w:num>
  <w:num w:numId="24">
    <w:abstractNumId w:val="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21"/>
  </w:num>
  <w:num w:numId="27">
    <w:abstractNumId w:val="30"/>
  </w:num>
  <w:num w:numId="28">
    <w:abstractNumId w:val="5"/>
  </w:num>
  <w:num w:numId="29">
    <w:abstractNumId w:val="19"/>
  </w:num>
  <w:num w:numId="30">
    <w:abstractNumId w:val="10"/>
  </w:num>
  <w:num w:numId="31">
    <w:abstractNumId w:val="8"/>
  </w:num>
  <w:num w:numId="32">
    <w:abstractNumId w:val="18"/>
  </w:num>
  <w:num w:numId="33">
    <w:abstractNumId w:val="2"/>
  </w:num>
  <w:num w:numId="34">
    <w:abstractNumId w:val="7"/>
  </w:num>
  <w:num w:numId="35">
    <w:abstractNumId w:val="22"/>
  </w:num>
  <w:num w:numId="36">
    <w:abstractNumId w:val="16"/>
  </w:num>
  <w:num w:numId="37">
    <w:abstractNumId w:val="28"/>
  </w:num>
  <w:num w:numId="38">
    <w:abstractNumId w:val="3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 w:numId="94">
    <w:abstractNumId w:val="87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 w:numId="204">
    <w:abstractNumId w:val="197"/>
  </w:num>
  <w:num w:numId="205">
    <w:abstractNumId w:val="198"/>
  </w:num>
  <w:num w:numId="206">
    <w:abstractNumId w:val="199"/>
  </w:num>
  <w:num w:numId="207">
    <w:abstractNumId w:val="200"/>
  </w:num>
  <w:num w:numId="208">
    <w:abstractNumId w:val="201"/>
  </w:num>
  <w:num w:numId="209">
    <w:abstractNumId w:val="202"/>
  </w:num>
  <w:num w:numId="210">
    <w:abstractNumId w:val="203"/>
  </w:num>
  <w:num w:numId="211">
    <w:abstractNumId w:val="204"/>
  </w:num>
  <w:num w:numId="212">
    <w:abstractNumId w:val="205"/>
  </w:num>
  <w:num w:numId="213">
    <w:abstractNumId w:val="206"/>
  </w:num>
  <w:num w:numId="214">
    <w:abstractNumId w:val="207"/>
  </w:num>
  <w:num w:numId="215">
    <w:abstractNumId w:val="208"/>
  </w:num>
  <w:num w:numId="216">
    <w:abstractNumId w:val="209"/>
  </w:num>
  <w:num w:numId="217">
    <w:abstractNumId w:val="210"/>
  </w:num>
  <w:num w:numId="218">
    <w:abstractNumId w:val="211"/>
  </w:num>
  <w:num w:numId="219">
    <w:abstractNumId w:val="212"/>
  </w:num>
  <w:num w:numId="220">
    <w:abstractNumId w:val="213"/>
  </w:num>
  <w:num w:numId="221">
    <w:abstractNumId w:val="2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27">
    <w:name w:val="Heading 1"/>
    <w:basedOn w:val="1305"/>
    <w:next w:val="1305"/>
    <w:link w:val="112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128">
    <w:name w:val="Heading 1 Char"/>
    <w:link w:val="1127"/>
    <w:uiPriority w:val="9"/>
    <w:rPr>
      <w:rFonts w:ascii="Arial" w:hAnsi="Arial" w:eastAsia="Arial" w:cs="Arial"/>
      <w:sz w:val="40"/>
      <w:szCs w:val="40"/>
    </w:rPr>
  </w:style>
  <w:style w:type="paragraph" w:styleId="1129">
    <w:name w:val="Heading 2"/>
    <w:basedOn w:val="1305"/>
    <w:next w:val="1305"/>
    <w:link w:val="113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130">
    <w:name w:val="Heading 2 Char"/>
    <w:link w:val="1129"/>
    <w:uiPriority w:val="9"/>
    <w:rPr>
      <w:rFonts w:ascii="Arial" w:hAnsi="Arial" w:eastAsia="Arial" w:cs="Arial"/>
      <w:sz w:val="34"/>
    </w:rPr>
  </w:style>
  <w:style w:type="paragraph" w:styleId="1131">
    <w:name w:val="Heading 3"/>
    <w:basedOn w:val="1305"/>
    <w:next w:val="1305"/>
    <w:link w:val="113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132">
    <w:name w:val="Heading 3 Char"/>
    <w:link w:val="1131"/>
    <w:uiPriority w:val="9"/>
    <w:rPr>
      <w:rFonts w:ascii="Arial" w:hAnsi="Arial" w:eastAsia="Arial" w:cs="Arial"/>
      <w:sz w:val="30"/>
      <w:szCs w:val="30"/>
    </w:rPr>
  </w:style>
  <w:style w:type="paragraph" w:styleId="1133">
    <w:name w:val="Heading 4"/>
    <w:basedOn w:val="1305"/>
    <w:next w:val="1305"/>
    <w:link w:val="113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134">
    <w:name w:val="Heading 4 Char"/>
    <w:link w:val="1133"/>
    <w:uiPriority w:val="9"/>
    <w:rPr>
      <w:rFonts w:ascii="Arial" w:hAnsi="Arial" w:eastAsia="Arial" w:cs="Arial"/>
      <w:b/>
      <w:bCs/>
      <w:sz w:val="26"/>
      <w:szCs w:val="26"/>
    </w:rPr>
  </w:style>
  <w:style w:type="paragraph" w:styleId="1135">
    <w:name w:val="Heading 5"/>
    <w:basedOn w:val="1305"/>
    <w:next w:val="1305"/>
    <w:link w:val="113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1136">
    <w:name w:val="Heading 5 Char"/>
    <w:link w:val="1135"/>
    <w:uiPriority w:val="9"/>
    <w:rPr>
      <w:rFonts w:ascii="Arial" w:hAnsi="Arial" w:eastAsia="Arial" w:cs="Arial"/>
      <w:b/>
      <w:bCs/>
      <w:sz w:val="24"/>
      <w:szCs w:val="24"/>
    </w:rPr>
  </w:style>
  <w:style w:type="paragraph" w:styleId="1137">
    <w:name w:val="Heading 6"/>
    <w:basedOn w:val="1305"/>
    <w:next w:val="1305"/>
    <w:link w:val="113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1138">
    <w:name w:val="Heading 6 Char"/>
    <w:link w:val="1137"/>
    <w:uiPriority w:val="9"/>
    <w:rPr>
      <w:rFonts w:ascii="Arial" w:hAnsi="Arial" w:eastAsia="Arial" w:cs="Arial"/>
      <w:b/>
      <w:bCs/>
      <w:sz w:val="22"/>
      <w:szCs w:val="22"/>
    </w:rPr>
  </w:style>
  <w:style w:type="paragraph" w:styleId="1139">
    <w:name w:val="Heading 7"/>
    <w:basedOn w:val="1305"/>
    <w:next w:val="1305"/>
    <w:link w:val="114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140">
    <w:name w:val="Heading 7 Char"/>
    <w:link w:val="113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1141">
    <w:name w:val="Heading 8"/>
    <w:basedOn w:val="1305"/>
    <w:next w:val="1305"/>
    <w:link w:val="114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1142">
    <w:name w:val="Heading 8 Char"/>
    <w:link w:val="1141"/>
    <w:uiPriority w:val="9"/>
    <w:rPr>
      <w:rFonts w:ascii="Arial" w:hAnsi="Arial" w:eastAsia="Arial" w:cs="Arial"/>
      <w:i/>
      <w:iCs/>
      <w:sz w:val="22"/>
      <w:szCs w:val="22"/>
    </w:rPr>
  </w:style>
  <w:style w:type="paragraph" w:styleId="1143">
    <w:name w:val="Heading 9"/>
    <w:basedOn w:val="1305"/>
    <w:next w:val="1305"/>
    <w:link w:val="114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144">
    <w:name w:val="Heading 9 Char"/>
    <w:link w:val="1143"/>
    <w:uiPriority w:val="9"/>
    <w:rPr>
      <w:rFonts w:ascii="Arial" w:hAnsi="Arial" w:eastAsia="Arial" w:cs="Arial"/>
      <w:i/>
      <w:iCs/>
      <w:sz w:val="21"/>
      <w:szCs w:val="21"/>
    </w:rPr>
  </w:style>
  <w:style w:type="paragraph" w:styleId="1145">
    <w:name w:val="List Paragraph"/>
    <w:basedOn w:val="1305"/>
    <w:uiPriority w:val="34"/>
    <w:qFormat/>
    <w:pPr>
      <w:contextualSpacing/>
      <w:ind w:left="720"/>
    </w:pPr>
  </w:style>
  <w:style w:type="paragraph" w:styleId="1146">
    <w:name w:val="No Spacing"/>
    <w:uiPriority w:val="1"/>
    <w:qFormat/>
    <w:pPr>
      <w:spacing w:before="0" w:after="0" w:line="240" w:lineRule="auto"/>
    </w:pPr>
  </w:style>
  <w:style w:type="paragraph" w:styleId="1147">
    <w:name w:val="Title"/>
    <w:basedOn w:val="1305"/>
    <w:next w:val="1305"/>
    <w:link w:val="114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148">
    <w:name w:val="Title Char"/>
    <w:link w:val="1147"/>
    <w:uiPriority w:val="10"/>
    <w:rPr>
      <w:sz w:val="48"/>
      <w:szCs w:val="48"/>
    </w:rPr>
  </w:style>
  <w:style w:type="paragraph" w:styleId="1149">
    <w:name w:val="Subtitle"/>
    <w:basedOn w:val="1305"/>
    <w:next w:val="1305"/>
    <w:link w:val="1150"/>
    <w:uiPriority w:val="11"/>
    <w:qFormat/>
    <w:pPr>
      <w:spacing w:before="200" w:after="200"/>
    </w:pPr>
    <w:rPr>
      <w:sz w:val="24"/>
      <w:szCs w:val="24"/>
    </w:rPr>
  </w:style>
  <w:style w:type="character" w:styleId="1150">
    <w:name w:val="Subtitle Char"/>
    <w:link w:val="1149"/>
    <w:uiPriority w:val="11"/>
    <w:rPr>
      <w:sz w:val="24"/>
      <w:szCs w:val="24"/>
    </w:rPr>
  </w:style>
  <w:style w:type="paragraph" w:styleId="1151">
    <w:name w:val="Quote"/>
    <w:basedOn w:val="1305"/>
    <w:next w:val="1305"/>
    <w:link w:val="1152"/>
    <w:uiPriority w:val="29"/>
    <w:qFormat/>
    <w:pPr>
      <w:ind w:left="720" w:right="720"/>
    </w:pPr>
    <w:rPr>
      <w:i/>
    </w:rPr>
  </w:style>
  <w:style w:type="character" w:styleId="1152">
    <w:name w:val="Quote Char"/>
    <w:link w:val="1151"/>
    <w:uiPriority w:val="29"/>
    <w:rPr>
      <w:i/>
    </w:rPr>
  </w:style>
  <w:style w:type="paragraph" w:styleId="1153">
    <w:name w:val="Intense Quote"/>
    <w:basedOn w:val="1305"/>
    <w:next w:val="1305"/>
    <w:link w:val="115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154">
    <w:name w:val="Intense Quote Char"/>
    <w:link w:val="1153"/>
    <w:uiPriority w:val="30"/>
    <w:rPr>
      <w:i/>
    </w:rPr>
  </w:style>
  <w:style w:type="paragraph" w:styleId="1155">
    <w:name w:val="Header"/>
    <w:basedOn w:val="1305"/>
    <w:link w:val="115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156">
    <w:name w:val="Header Char"/>
    <w:link w:val="1155"/>
    <w:uiPriority w:val="99"/>
  </w:style>
  <w:style w:type="paragraph" w:styleId="1157">
    <w:name w:val="Footer"/>
    <w:basedOn w:val="1305"/>
    <w:link w:val="11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1158">
    <w:name w:val="Footer Char"/>
    <w:link w:val="1157"/>
    <w:uiPriority w:val="99"/>
  </w:style>
  <w:style w:type="paragraph" w:styleId="1159">
    <w:name w:val="Caption"/>
    <w:basedOn w:val="1305"/>
    <w:next w:val="1305"/>
    <w:link w:val="11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160">
    <w:name w:val="Caption Char"/>
    <w:basedOn w:val="1159"/>
    <w:link w:val="1157"/>
    <w:uiPriority w:val="99"/>
  </w:style>
  <w:style w:type="table" w:styleId="1161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62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163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64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165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166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7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168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69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0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1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2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3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4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5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6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7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8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79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0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1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2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3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4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5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6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7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8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89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190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191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192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193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194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195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196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197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198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199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200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201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202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203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204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205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206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207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208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209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210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1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2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3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4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5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6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7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8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19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0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1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2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3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224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225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226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227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228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229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230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31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2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3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4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5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6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7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8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9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0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1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2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3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4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5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46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47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48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49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50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51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252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253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254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255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256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257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258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259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260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261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262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263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264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265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266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67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268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269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270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271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272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273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274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275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276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277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278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279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280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281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282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283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284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285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286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287">
    <w:name w:val="Hyperlink"/>
    <w:uiPriority w:val="99"/>
    <w:unhideWhenUsed/>
    <w:rPr>
      <w:color w:val="0000ff" w:themeColor="hyperlink"/>
      <w:u w:val="single"/>
    </w:rPr>
  </w:style>
  <w:style w:type="paragraph" w:styleId="1288">
    <w:name w:val="footnote text"/>
    <w:basedOn w:val="1305"/>
    <w:link w:val="1289"/>
    <w:uiPriority w:val="99"/>
    <w:semiHidden/>
    <w:unhideWhenUsed/>
    <w:pPr>
      <w:spacing w:after="40" w:line="240" w:lineRule="auto"/>
    </w:pPr>
    <w:rPr>
      <w:sz w:val="18"/>
    </w:rPr>
  </w:style>
  <w:style w:type="character" w:styleId="1289">
    <w:name w:val="Footnote Text Char"/>
    <w:link w:val="1288"/>
    <w:uiPriority w:val="99"/>
    <w:rPr>
      <w:sz w:val="18"/>
    </w:rPr>
  </w:style>
  <w:style w:type="character" w:styleId="1290">
    <w:name w:val="footnote reference"/>
    <w:uiPriority w:val="99"/>
    <w:unhideWhenUsed/>
    <w:rPr>
      <w:vertAlign w:val="superscript"/>
    </w:rPr>
  </w:style>
  <w:style w:type="paragraph" w:styleId="1291">
    <w:name w:val="endnote text"/>
    <w:basedOn w:val="1305"/>
    <w:link w:val="1292"/>
    <w:uiPriority w:val="99"/>
    <w:semiHidden/>
    <w:unhideWhenUsed/>
    <w:pPr>
      <w:spacing w:after="0" w:line="240" w:lineRule="auto"/>
    </w:pPr>
    <w:rPr>
      <w:sz w:val="20"/>
    </w:rPr>
  </w:style>
  <w:style w:type="character" w:styleId="1292">
    <w:name w:val="Endnote Text Char"/>
    <w:link w:val="1291"/>
    <w:uiPriority w:val="99"/>
    <w:rPr>
      <w:sz w:val="20"/>
    </w:rPr>
  </w:style>
  <w:style w:type="character" w:styleId="1293">
    <w:name w:val="endnote reference"/>
    <w:uiPriority w:val="99"/>
    <w:semiHidden/>
    <w:unhideWhenUsed/>
    <w:rPr>
      <w:vertAlign w:val="superscript"/>
    </w:rPr>
  </w:style>
  <w:style w:type="paragraph" w:styleId="1294">
    <w:name w:val="toc 1"/>
    <w:basedOn w:val="1305"/>
    <w:next w:val="1305"/>
    <w:uiPriority w:val="39"/>
    <w:unhideWhenUsed/>
    <w:pPr>
      <w:ind w:left="0" w:right="0" w:firstLine="0"/>
      <w:spacing w:after="57"/>
    </w:pPr>
  </w:style>
  <w:style w:type="paragraph" w:styleId="1295">
    <w:name w:val="toc 2"/>
    <w:basedOn w:val="1305"/>
    <w:next w:val="1305"/>
    <w:uiPriority w:val="39"/>
    <w:unhideWhenUsed/>
    <w:pPr>
      <w:ind w:left="283" w:right="0" w:firstLine="0"/>
      <w:spacing w:after="57"/>
    </w:pPr>
  </w:style>
  <w:style w:type="paragraph" w:styleId="1296">
    <w:name w:val="toc 3"/>
    <w:basedOn w:val="1305"/>
    <w:next w:val="1305"/>
    <w:uiPriority w:val="39"/>
    <w:unhideWhenUsed/>
    <w:pPr>
      <w:ind w:left="567" w:right="0" w:firstLine="0"/>
      <w:spacing w:after="57"/>
    </w:pPr>
  </w:style>
  <w:style w:type="paragraph" w:styleId="1297">
    <w:name w:val="toc 4"/>
    <w:basedOn w:val="1305"/>
    <w:next w:val="1305"/>
    <w:uiPriority w:val="39"/>
    <w:unhideWhenUsed/>
    <w:pPr>
      <w:ind w:left="850" w:right="0" w:firstLine="0"/>
      <w:spacing w:after="57"/>
    </w:pPr>
  </w:style>
  <w:style w:type="paragraph" w:styleId="1298">
    <w:name w:val="toc 5"/>
    <w:basedOn w:val="1305"/>
    <w:next w:val="1305"/>
    <w:uiPriority w:val="39"/>
    <w:unhideWhenUsed/>
    <w:pPr>
      <w:ind w:left="1134" w:right="0" w:firstLine="0"/>
      <w:spacing w:after="57"/>
    </w:pPr>
  </w:style>
  <w:style w:type="paragraph" w:styleId="1299">
    <w:name w:val="toc 6"/>
    <w:basedOn w:val="1305"/>
    <w:next w:val="1305"/>
    <w:uiPriority w:val="39"/>
    <w:unhideWhenUsed/>
    <w:pPr>
      <w:ind w:left="1417" w:right="0" w:firstLine="0"/>
      <w:spacing w:after="57"/>
    </w:pPr>
  </w:style>
  <w:style w:type="paragraph" w:styleId="1300">
    <w:name w:val="toc 7"/>
    <w:basedOn w:val="1305"/>
    <w:next w:val="1305"/>
    <w:uiPriority w:val="39"/>
    <w:unhideWhenUsed/>
    <w:pPr>
      <w:ind w:left="1701" w:right="0" w:firstLine="0"/>
      <w:spacing w:after="57"/>
    </w:pPr>
  </w:style>
  <w:style w:type="paragraph" w:styleId="1301">
    <w:name w:val="toc 8"/>
    <w:basedOn w:val="1305"/>
    <w:next w:val="1305"/>
    <w:uiPriority w:val="39"/>
    <w:unhideWhenUsed/>
    <w:pPr>
      <w:ind w:left="1984" w:right="0" w:firstLine="0"/>
      <w:spacing w:after="57"/>
    </w:pPr>
  </w:style>
  <w:style w:type="paragraph" w:styleId="1302">
    <w:name w:val="toc 9"/>
    <w:basedOn w:val="1305"/>
    <w:next w:val="1305"/>
    <w:uiPriority w:val="39"/>
    <w:unhideWhenUsed/>
    <w:pPr>
      <w:ind w:left="2268" w:right="0" w:firstLine="0"/>
      <w:spacing w:after="57"/>
    </w:pPr>
  </w:style>
  <w:style w:type="paragraph" w:styleId="1303">
    <w:name w:val="TOC Heading"/>
    <w:uiPriority w:val="39"/>
    <w:unhideWhenUsed/>
  </w:style>
  <w:style w:type="paragraph" w:styleId="1304">
    <w:name w:val="table of figures"/>
    <w:basedOn w:val="1305"/>
    <w:next w:val="1305"/>
    <w:uiPriority w:val="99"/>
    <w:unhideWhenUsed/>
    <w:pPr>
      <w:spacing w:after="0" w:afterAutospacing="0"/>
    </w:pPr>
  </w:style>
  <w:style w:type="paragraph" w:styleId="1305" w:default="1">
    <w:name w:val="Normal"/>
    <w:next w:val="1305"/>
    <w:link w:val="1305"/>
    <w:qFormat/>
    <w:pPr>
      <w:jc w:val="both"/>
      <w:spacing w:line="360" w:lineRule="atLeast"/>
      <w:widowControl w:val="off"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1306">
    <w:name w:val="Основной шрифт абзаца"/>
    <w:next w:val="1306"/>
    <w:link w:val="1305"/>
    <w:uiPriority w:val="1"/>
    <w:unhideWhenUsed/>
  </w:style>
  <w:style w:type="table" w:styleId="1307">
    <w:name w:val="Обычная таблица"/>
    <w:next w:val="1307"/>
    <w:link w:val="1305"/>
    <w:uiPriority w:val="99"/>
    <w:semiHidden/>
    <w:unhideWhenUsed/>
    <w:qFormat/>
    <w:tblPr/>
  </w:style>
  <w:style w:type="numbering" w:styleId="1308">
    <w:name w:val="Нет списка"/>
    <w:next w:val="1308"/>
    <w:link w:val="1305"/>
    <w:uiPriority w:val="99"/>
    <w:semiHidden/>
    <w:unhideWhenUsed/>
  </w:style>
  <w:style w:type="paragraph" w:styleId="1309">
    <w:name w:val="Основной текст с отступом"/>
    <w:basedOn w:val="1305"/>
    <w:next w:val="1309"/>
    <w:link w:val="1310"/>
    <w:pPr>
      <w:ind w:firstLine="720"/>
      <w:spacing w:line="360" w:lineRule="auto"/>
    </w:pPr>
    <w:rPr>
      <w:sz w:val="28"/>
      <w:szCs w:val="20"/>
      <w:lang w:val="en-US"/>
    </w:rPr>
  </w:style>
  <w:style w:type="character" w:styleId="1310">
    <w:name w:val="Основной текст с отступом Знак"/>
    <w:next w:val="1310"/>
    <w:link w:val="130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311">
    <w:name w:val="Нижний колонтитул"/>
    <w:basedOn w:val="1305"/>
    <w:next w:val="1311"/>
    <w:link w:val="1312"/>
    <w:uiPriority w:val="99"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1312">
    <w:name w:val="Нижний колонтитул Знак"/>
    <w:next w:val="1312"/>
    <w:link w:val="131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313">
    <w:name w:val="Номер страницы"/>
    <w:basedOn w:val="1306"/>
    <w:next w:val="1313"/>
    <w:link w:val="1305"/>
  </w:style>
  <w:style w:type="paragraph" w:styleId="1314">
    <w:name w:val="Основной текст с отступом 2"/>
    <w:basedOn w:val="1305"/>
    <w:next w:val="1314"/>
    <w:link w:val="1315"/>
    <w:pPr>
      <w:ind w:firstLine="720"/>
    </w:pPr>
    <w:rPr>
      <w:b/>
      <w:sz w:val="32"/>
      <w:szCs w:val="32"/>
      <w:lang w:val="en-US"/>
    </w:rPr>
  </w:style>
  <w:style w:type="character" w:styleId="1315">
    <w:name w:val="Основной текст с отступом 2 Знак"/>
    <w:next w:val="1315"/>
    <w:link w:val="1314"/>
    <w:rPr>
      <w:rFonts w:ascii="Times New Roman" w:hAnsi="Times New Roman" w:eastAsia="Times New Roman" w:cs="Times New Roman"/>
      <w:b/>
      <w:sz w:val="32"/>
      <w:szCs w:val="32"/>
      <w:lang w:eastAsia="ru-RU"/>
    </w:rPr>
  </w:style>
  <w:style w:type="paragraph" w:styleId="1316">
    <w:name w:val="Абзац списка"/>
    <w:basedOn w:val="1305"/>
    <w:next w:val="1316"/>
    <w:link w:val="1305"/>
    <w:uiPriority w:val="34"/>
    <w:qFormat/>
    <w:pPr>
      <w:contextualSpacing/>
      <w:ind w:left="720"/>
      <w:jc w:val="left"/>
      <w:spacing w:after="200" w:line="276" w:lineRule="auto"/>
      <w:widowControl/>
    </w:pPr>
    <w:rPr>
      <w:rFonts w:ascii="Calibri" w:hAnsi="Calibri" w:eastAsia="Calibri"/>
      <w:sz w:val="22"/>
      <w:szCs w:val="22"/>
      <w:lang w:eastAsia="en-US"/>
    </w:rPr>
  </w:style>
  <w:style w:type="paragraph" w:styleId="1317">
    <w:name w:val="Текст выноски"/>
    <w:basedOn w:val="1305"/>
    <w:next w:val="1317"/>
    <w:link w:val="1318"/>
    <w:uiPriority w:val="99"/>
    <w:semiHidden/>
    <w:unhideWhenUsed/>
    <w:pPr>
      <w:spacing w:line="240" w:lineRule="auto"/>
    </w:pPr>
    <w:rPr>
      <w:rFonts w:ascii="Tahoma" w:hAnsi="Tahoma"/>
      <w:sz w:val="16"/>
      <w:szCs w:val="16"/>
      <w:lang w:val="en-US"/>
    </w:rPr>
  </w:style>
  <w:style w:type="character" w:styleId="1318">
    <w:name w:val="Текст выноски Знак"/>
    <w:next w:val="1318"/>
    <w:link w:val="1317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1319">
    <w:name w:val="Верхний колонтитул, Знак"/>
    <w:basedOn w:val="1305"/>
    <w:next w:val="1319"/>
    <w:link w:val="1320"/>
    <w:uiPriority w:val="99"/>
    <w:semiHidden/>
    <w:unhideWhenUsed/>
    <w:pPr>
      <w:spacing w:line="240" w:lineRule="auto"/>
      <w:tabs>
        <w:tab w:val="center" w:pos="4677" w:leader="none"/>
        <w:tab w:val="right" w:pos="9355" w:leader="none"/>
      </w:tabs>
    </w:pPr>
    <w:rPr>
      <w:lang w:val="en-US"/>
    </w:rPr>
  </w:style>
  <w:style w:type="character" w:styleId="1320">
    <w:name w:val="Верхний колонтитул Знак, Знак Знак1"/>
    <w:next w:val="1320"/>
    <w:link w:val="1319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321">
    <w:name w:val="Основной текст"/>
    <w:basedOn w:val="1305"/>
    <w:next w:val="1321"/>
    <w:link w:val="1322"/>
    <w:uiPriority w:val="99"/>
    <w:unhideWhenUsed/>
    <w:pPr>
      <w:spacing w:after="120"/>
    </w:pPr>
  </w:style>
  <w:style w:type="character" w:styleId="1322">
    <w:name w:val="Основной текст Знак"/>
    <w:next w:val="1322"/>
    <w:link w:val="1321"/>
    <w:uiPriority w:val="99"/>
    <w:rPr>
      <w:rFonts w:ascii="Times New Roman" w:hAnsi="Times New Roman" w:eastAsia="Times New Roman"/>
      <w:sz w:val="24"/>
      <w:szCs w:val="24"/>
    </w:rPr>
  </w:style>
  <w:style w:type="paragraph" w:styleId="1323">
    <w:name w:val="Исполнитель"/>
    <w:basedOn w:val="1321"/>
    <w:next w:val="1323"/>
    <w:link w:val="1305"/>
    <w:pPr>
      <w:jc w:val="left"/>
      <w:spacing w:line="240" w:lineRule="exact"/>
      <w:widowControl/>
    </w:pPr>
    <w:rPr>
      <w:szCs w:val="20"/>
    </w:rPr>
  </w:style>
  <w:style w:type="character" w:styleId="1324" w:default="1">
    <w:name w:val="Default Paragraph Font"/>
    <w:uiPriority w:val="1"/>
    <w:semiHidden/>
    <w:unhideWhenUsed/>
  </w:style>
  <w:style w:type="numbering" w:styleId="1325" w:default="1">
    <w:name w:val="No List"/>
    <w:uiPriority w:val="99"/>
    <w:semiHidden/>
    <w:unhideWhenUsed/>
  </w:style>
  <w:style w:type="table" w:styleId="132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Департамент финансов админситрации г.Перми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к письму  ОПЕРАТИВНЫЙ АНАЛИЗ ИСПОЛНЕНИЯ БЮДЖЕТА ГОРОДА ПЕРМИ НА 1 МАРТА 2012 ГОДА  ПОЯСНИТЕЛЬНАЯ ЗАПИСКА  Исполне</dc:title>
  <dc:creator>Dep_Fin</dc:creator>
  <cp:lastModifiedBy>koriakina-da</cp:lastModifiedBy>
  <cp:revision>4419</cp:revision>
  <dcterms:created xsi:type="dcterms:W3CDTF">2022-06-10T10:27:00Z</dcterms:created>
  <dcterms:modified xsi:type="dcterms:W3CDTF">2026-08-13T10:28:26Z</dcterms:modified>
  <cp:version>983040</cp:version>
</cp:coreProperties>
</file>