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b/>
          <w:caps/>
          <w:color w:val="000000" w:themeColor="text1"/>
          <w:sz w:val="32"/>
          <w:szCs w:val="32"/>
        </w:rPr>
      </w:pPr>
      <w:r>
        <w:rPr>
          <w:b/>
          <w:caps/>
          <w:color w:val="000000" w:themeColor="text1"/>
          <w:sz w:val="32"/>
          <w:szCs w:val="32"/>
        </w:rPr>
        <w:t xml:space="preserve">ОПЕРАТИВНЫЙ АНАЛИЗ Исполнения бюджета</w:t>
      </w:r>
      <w:r>
        <w:rPr>
          <w:b/>
          <w:caps/>
          <w:color w:val="000000" w:themeColor="text1"/>
          <w:sz w:val="32"/>
          <w:szCs w:val="32"/>
        </w:rPr>
      </w:r>
      <w:r>
        <w:rPr>
          <w:b/>
          <w:caps/>
          <w:color w:val="000000" w:themeColor="text1"/>
          <w:sz w:val="32"/>
          <w:szCs w:val="32"/>
        </w:rPr>
      </w:r>
    </w:p>
    <w:p>
      <w:pPr>
        <w:jc w:val="center"/>
        <w:spacing w:line="240" w:lineRule="auto"/>
        <w:rPr>
          <w:b/>
          <w:caps/>
          <w:color w:val="000000" w:themeColor="text1"/>
          <w:sz w:val="32"/>
          <w:szCs w:val="32"/>
        </w:rPr>
      </w:pPr>
      <w:r>
        <w:rPr>
          <w:b/>
          <w:caps/>
          <w:color w:val="000000" w:themeColor="text1"/>
          <w:sz w:val="32"/>
          <w:szCs w:val="32"/>
        </w:rPr>
        <w:t xml:space="preserve">города Перми на 1 </w:t>
      </w:r>
      <w:r>
        <w:rPr>
          <w:b/>
          <w:caps/>
          <w:color w:val="000000" w:themeColor="text1"/>
          <w:sz w:val="32"/>
          <w:szCs w:val="32"/>
        </w:rPr>
        <w:t xml:space="preserve">СЕНТЯБРЯ </w:t>
      </w:r>
      <w:r>
        <w:rPr>
          <w:b/>
          <w:caps/>
          <w:color w:val="000000" w:themeColor="text1"/>
          <w:sz w:val="32"/>
          <w:szCs w:val="32"/>
        </w:rPr>
        <w:t xml:space="preserve">2025 года </w:t>
      </w:r>
      <w:r>
        <w:rPr>
          <w:b/>
          <w:caps/>
          <w:color w:val="000000" w:themeColor="text1"/>
          <w:sz w:val="32"/>
          <w:szCs w:val="32"/>
        </w:rPr>
      </w:r>
      <w:r>
        <w:rPr>
          <w:b/>
          <w:caps/>
          <w:color w:val="000000" w:themeColor="text1"/>
          <w:sz w:val="32"/>
          <w:szCs w:val="32"/>
        </w:rPr>
      </w:r>
    </w:p>
    <w:p>
      <w:pPr>
        <w:jc w:val="center"/>
        <w:spacing w:line="240" w:lineRule="auto"/>
        <w:rPr>
          <w:b/>
          <w:caps/>
          <w:color w:val="000000" w:themeColor="text1"/>
          <w:sz w:val="16"/>
          <w:szCs w:val="16"/>
        </w:rPr>
      </w:pPr>
      <w:r>
        <w:rPr>
          <w:b/>
          <w:caps/>
          <w:color w:val="000000" w:themeColor="text1"/>
          <w:sz w:val="16"/>
          <w:szCs w:val="16"/>
        </w:rPr>
      </w:r>
      <w:r>
        <w:rPr>
          <w:b/>
          <w:caps/>
          <w:color w:val="000000" w:themeColor="text1"/>
          <w:sz w:val="16"/>
          <w:szCs w:val="16"/>
        </w:rPr>
      </w:r>
      <w:r>
        <w:rPr>
          <w:b/>
          <w:caps/>
          <w:color w:val="000000" w:themeColor="text1"/>
          <w:sz w:val="16"/>
          <w:szCs w:val="16"/>
        </w:rPr>
      </w:r>
    </w:p>
    <w:p>
      <w:pPr>
        <w:jc w:val="center"/>
        <w:spacing w:line="240" w:lineRule="auto"/>
        <w:rPr>
          <w:b/>
          <w:caps/>
          <w:color w:val="000000" w:themeColor="text1"/>
          <w:sz w:val="32"/>
          <w:szCs w:val="32"/>
        </w:rPr>
      </w:pPr>
      <w:r>
        <w:rPr>
          <w:b/>
          <w:caps/>
          <w:color w:val="000000" w:themeColor="text1"/>
          <w:sz w:val="32"/>
          <w:szCs w:val="32"/>
        </w:rPr>
        <w:t xml:space="preserve">пояснительная записка</w:t>
      </w:r>
      <w:r>
        <w:rPr>
          <w:b/>
          <w:caps/>
          <w:color w:val="000000" w:themeColor="text1"/>
          <w:sz w:val="32"/>
          <w:szCs w:val="32"/>
        </w:rPr>
      </w:r>
      <w:r>
        <w:rPr>
          <w:b/>
          <w:caps/>
          <w:color w:val="000000" w:themeColor="text1"/>
          <w:sz w:val="32"/>
          <w:szCs w:val="32"/>
        </w:rPr>
      </w:r>
    </w:p>
    <w:p>
      <w:pPr>
        <w:ind w:firstLine="567"/>
        <w:spacing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spacing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Исполнение бюджета города Перми по состоянию на 1 </w:t>
      </w:r>
      <w:r>
        <w:rPr>
          <w:color w:val="000000" w:themeColor="text1"/>
          <w:sz w:val="28"/>
          <w:szCs w:val="28"/>
        </w:rPr>
        <w:t xml:space="preserve">сентября 2025 года                     по оперативным данным характеризуется следующими показателями: 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28"/>
          <w:szCs w:val="28"/>
        </w:rPr>
        <w:t xml:space="preserve">по доходам </w:t>
      </w:r>
      <w:r>
        <w:rPr>
          <w:b/>
          <w:bCs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сумм</w:t>
      </w:r>
      <w:r>
        <w:rPr>
          <w:color w:val="000000" w:themeColor="text1"/>
          <w:sz w:val="28"/>
          <w:szCs w:val="28"/>
        </w:rPr>
        <w:t xml:space="preserve">е </w:t>
      </w:r>
      <w:r>
        <w:rPr>
          <w:b/>
          <w:color w:val="000000" w:themeColor="text1"/>
          <w:sz w:val="28"/>
          <w:szCs w:val="28"/>
        </w:rPr>
        <w:t xml:space="preserve">36 374 405,3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</w:t>
      </w: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.</w:t>
      </w:r>
      <w:r>
        <w:rPr>
          <w:b/>
          <w:color w:val="000000" w:themeColor="text1"/>
          <w:sz w:val="28"/>
          <w:szCs w:val="28"/>
        </w:rPr>
        <w:t xml:space="preserve">,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л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</w:rPr>
        <w:t xml:space="preserve">98,3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t xml:space="preserve">от плана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нваря-</w:t>
      </w:r>
      <w:r>
        <w:rPr>
          <w:color w:val="000000" w:themeColor="text1"/>
          <w:sz w:val="28"/>
          <w:szCs w:val="28"/>
        </w:rPr>
        <w:t xml:space="preserve">августа 2025 года (</w:t>
      </w:r>
      <w:r>
        <w:rPr>
          <w:color w:val="000000" w:themeColor="text1"/>
          <w:sz w:val="28"/>
          <w:szCs w:val="28"/>
        </w:rPr>
        <w:t xml:space="preserve">37 011 725,3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руб.)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</w:rPr>
        <w:t xml:space="preserve">5</w:t>
      </w:r>
      <w:r>
        <w:rPr>
          <w:b/>
          <w:color w:val="000000" w:themeColor="text1"/>
          <w:sz w:val="28"/>
          <w:szCs w:val="28"/>
        </w:rPr>
        <w:t xml:space="preserve">7,3 %</w:t>
      </w:r>
      <w:r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уточне</w:t>
      </w:r>
      <w:r>
        <w:rPr>
          <w:color w:val="000000" w:themeColor="text1"/>
          <w:sz w:val="28"/>
          <w:szCs w:val="28"/>
        </w:rPr>
        <w:t xml:space="preserve">нного</w:t>
      </w:r>
      <w:r>
        <w:rPr>
          <w:color w:val="000000" w:themeColor="text1"/>
          <w:sz w:val="28"/>
          <w:szCs w:val="28"/>
        </w:rPr>
        <w:t xml:space="preserve"> годовог</w:t>
      </w:r>
      <w:r>
        <w:rPr>
          <w:color w:val="000000" w:themeColor="text1"/>
          <w:sz w:val="28"/>
          <w:szCs w:val="28"/>
        </w:rPr>
        <w:t xml:space="preserve">о плана                             </w:t>
      </w:r>
      <w:r>
        <w:rPr>
          <w:color w:val="000000" w:themeColor="text1"/>
          <w:sz w:val="28"/>
          <w:szCs w:val="28"/>
        </w:rPr>
        <w:t xml:space="preserve">   (</w:t>
      </w:r>
      <w:r>
        <w:rPr>
          <w:color w:val="000000" w:themeColor="text1"/>
          <w:sz w:val="28"/>
          <w:szCs w:val="28"/>
        </w:rPr>
        <w:t xml:space="preserve">63 473 085,7</w:t>
      </w:r>
      <w:r>
        <w:rPr>
          <w:color w:val="000000" w:themeColor="text1"/>
          <w:sz w:val="28"/>
          <w:szCs w:val="28"/>
        </w:rPr>
        <w:t xml:space="preserve"> тыс. руб.).  За аналогичный период прошлого года поступления доходов составляли </w:t>
      </w:r>
      <w:r>
        <w:rPr>
          <w:color w:val="000000" w:themeColor="text1"/>
          <w:sz w:val="28"/>
          <w:szCs w:val="28"/>
        </w:rPr>
        <w:t xml:space="preserve">35 455 822,9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поступления доходов бюджета за январь-</w:t>
      </w:r>
      <w:r>
        <w:rPr>
          <w:color w:val="000000" w:themeColor="text1"/>
          <w:sz w:val="28"/>
          <w:szCs w:val="28"/>
        </w:rPr>
        <w:t xml:space="preserve">август 2024 и 2025 годов приведен   в следующей таблице: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right"/>
        <w:spacing w:line="240" w:lineRule="atLeast"/>
        <w:rPr>
          <w:color w:val="000000" w:themeColor="text1"/>
          <w:sz w:val="20"/>
          <w:szCs w:val="18"/>
        </w:rPr>
      </w:pPr>
      <w:r>
        <w:rPr>
          <w:color w:val="000000" w:themeColor="text1"/>
          <w:sz w:val="32"/>
          <w:szCs w:val="28"/>
        </w:rPr>
        <w:t xml:space="preserve">   </w:t>
      </w:r>
      <w:r>
        <w:rPr>
          <w:color w:val="000000" w:themeColor="text1"/>
          <w:sz w:val="20"/>
          <w:szCs w:val="18"/>
        </w:rPr>
        <w:t xml:space="preserve">  (</w:t>
      </w:r>
      <w:r>
        <w:rPr>
          <w:color w:val="000000" w:themeColor="text1"/>
          <w:sz w:val="20"/>
          <w:szCs w:val="18"/>
        </w:rPr>
        <w:t xml:space="preserve">тыс.руб</w:t>
      </w:r>
      <w:r>
        <w:rPr>
          <w:color w:val="000000" w:themeColor="text1"/>
          <w:sz w:val="20"/>
          <w:szCs w:val="18"/>
        </w:rPr>
        <w:t xml:space="preserve">.)</w:t>
      </w:r>
      <w:r>
        <w:rPr>
          <w:color w:val="000000" w:themeColor="text1"/>
          <w:sz w:val="20"/>
          <w:szCs w:val="18"/>
        </w:rPr>
      </w:r>
      <w:r>
        <w:rPr>
          <w:color w:val="000000" w:themeColor="text1"/>
          <w:sz w:val="20"/>
          <w:szCs w:val="18"/>
        </w:rPr>
      </w:r>
    </w:p>
    <w:tbl>
      <w:tblPr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1701"/>
        <w:gridCol w:w="1701"/>
        <w:gridCol w:w="1461"/>
        <w:gridCol w:w="1418"/>
      </w:tblGrid>
      <w:tr>
        <w:tblPrEx/>
        <w:trPr>
          <w:jc w:val="center"/>
          <w:trHeight w:val="1046"/>
        </w:trPr>
        <w:tc>
          <w:tcPr>
            <w:tcBorders>
              <w:bottom w:val="single" w:color="000000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Наименование показателя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Факт на 01.09</w:t>
            </w:r>
            <w:r>
              <w:rPr>
                <w:color w:val="000000" w:themeColor="text1"/>
                <w:sz w:val="20"/>
                <w:szCs w:val="22"/>
              </w:rPr>
              <w:t xml:space="preserve">.2024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Факт на 01.0</w:t>
            </w:r>
            <w:r>
              <w:rPr>
                <w:color w:val="000000" w:themeColor="text1"/>
                <w:sz w:val="20"/>
                <w:szCs w:val="22"/>
              </w:rPr>
              <w:t xml:space="preserve">9.2025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</w:rPr>
              <w:t xml:space="preserve">тклонение поступлений 2025 года от 2024 года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Отношение поступлений 2025 года к 2024 году, %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1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Налоговые и неналоговые доходы,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18 658 935,6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20 378 205,9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1 719 270,3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109,2%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налоговые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13 447 832,7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15 387 705,6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1 939 872,9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114,4%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неналоговые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5 211 102,9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4 990 500,3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-220 602,6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95,8%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Безвозмездные поступления от бюджетов других уровней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16 796 887,3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15 996 199,4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-800 687,9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95,2%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3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Всего доходов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35 455 822,9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36 374 405,3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918 582,4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u w:val="none"/>
                <w:vertAlign w:val="baseline"/>
              </w:rPr>
              <w:t xml:space="preserve">102,6%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изменениями с 2025 года норматива зачисления налога на доходы физических лиц, в настоящем анализе объем доходов бюджета 2024 года приведен                   в сопоставимые условия (норматив по НДФЛ – 30,0 %).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расходам</w:t>
      </w:r>
      <w:r>
        <w:rPr>
          <w:color w:val="000000" w:themeColor="text1"/>
          <w:sz w:val="28"/>
          <w:szCs w:val="28"/>
        </w:rPr>
        <w:t xml:space="preserve"> - в </w:t>
      </w:r>
      <w:r>
        <w:rPr>
          <w:sz w:val="28"/>
          <w:szCs w:val="28"/>
        </w:rPr>
        <w:t xml:space="preserve">сумме</w:t>
      </w:r>
      <w:r>
        <w:t xml:space="preserve"> </w:t>
      </w:r>
      <w:r>
        <w:rPr>
          <w:b/>
          <w:bCs/>
          <w:color w:val="auto"/>
          <w:sz w:val="28"/>
          <w:szCs w:val="28"/>
        </w:rPr>
        <w:t xml:space="preserve">36 188 456,4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</w:t>
      </w:r>
      <w:r>
        <w:rPr>
          <w:color w:val="auto"/>
          <w:sz w:val="28"/>
          <w:szCs w:val="28"/>
        </w:rPr>
        <w:t xml:space="preserve">.</w:t>
      </w:r>
      <w:r>
        <w:rPr>
          <w:sz w:val="28"/>
          <w:szCs w:val="28"/>
        </w:rPr>
        <w:t xml:space="preserve"> руб., ил</w:t>
      </w:r>
      <w:r>
        <w:rPr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 xml:space="preserve">95,4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 </w:t>
      </w:r>
      <w:r>
        <w:rPr>
          <w:color w:val="auto"/>
          <w:sz w:val="28"/>
          <w:szCs w:val="28"/>
        </w:rPr>
        <w:t xml:space="preserve">от кассового</w:t>
      </w:r>
      <w:r>
        <w:rPr>
          <w:color w:val="auto"/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лана                   января-</w:t>
      </w:r>
      <w:r>
        <w:rPr>
          <w:sz w:val="28"/>
          <w:szCs w:val="28"/>
        </w:rPr>
        <w:t xml:space="preserve">августа 2025 года (</w:t>
      </w:r>
      <w:r>
        <w:rPr>
          <w:sz w:val="28"/>
          <w:szCs w:val="28"/>
        </w:rPr>
        <w:t xml:space="preserve">37 914 325,3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руб.) </w:t>
      </w:r>
      <w:r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52,4 %</w:t>
      </w:r>
      <w:r>
        <w:rPr>
          <w:sz w:val="28"/>
          <w:szCs w:val="28"/>
        </w:rPr>
        <w:t xml:space="preserve"> от годо</w:t>
      </w:r>
      <w:r>
        <w:rPr>
          <w:sz w:val="28"/>
          <w:szCs w:val="28"/>
        </w:rPr>
        <w:t xml:space="preserve">вых</w:t>
      </w:r>
      <w:r>
        <w:rPr>
          <w:color w:val="000000" w:themeColor="text1"/>
          <w:sz w:val="28"/>
          <w:szCs w:val="28"/>
        </w:rPr>
        <w:t xml:space="preserve"> ассигнований               </w:t>
      </w:r>
      <w:r>
        <w:rPr>
          <w:color w:val="000000" w:themeColor="text1"/>
          <w:sz w:val="28"/>
          <w:szCs w:val="28"/>
        </w:rPr>
        <w:t xml:space="preserve">   (</w:t>
      </w:r>
      <w:r>
        <w:rPr>
          <w:color w:val="000000" w:themeColor="text1"/>
          <w:sz w:val="28"/>
          <w:szCs w:val="28"/>
        </w:rPr>
        <w:t xml:space="preserve">69 027 167,1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руб.). К</w:t>
      </w:r>
      <w:r>
        <w:rPr>
          <w:bCs/>
          <w:color w:val="000000" w:themeColor="text1"/>
          <w:sz w:val="28"/>
          <w:szCs w:val="28"/>
        </w:rPr>
        <w:t xml:space="preserve">ассовый расход за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аналогичный период прошлого года составлял </w:t>
      </w:r>
      <w:r>
        <w:rPr>
          <w:color w:val="000000" w:themeColor="text1"/>
          <w:sz w:val="28"/>
          <w:szCs w:val="28"/>
        </w:rPr>
        <w:t xml:space="preserve">32 347 885,3</w:t>
      </w:r>
      <w:r>
        <w:rPr>
          <w:color w:val="000000" w:themeColor="text1"/>
          <w:sz w:val="28"/>
          <w:szCs w:val="28"/>
        </w:rPr>
        <w:t xml:space="preserve"> т</w:t>
      </w:r>
      <w:r>
        <w:rPr>
          <w:sz w:val="28"/>
          <w:szCs w:val="28"/>
        </w:rPr>
        <w:t xml:space="preserve">ыс. ру</w:t>
      </w:r>
      <w:r>
        <w:rPr>
          <w:color w:val="auto"/>
          <w:sz w:val="28"/>
          <w:szCs w:val="28"/>
        </w:rPr>
        <w:t xml:space="preserve">б., или </w:t>
      </w:r>
      <w:r>
        <w:rPr>
          <w:b/>
          <w:color w:val="auto"/>
          <w:sz w:val="28"/>
          <w:szCs w:val="28"/>
        </w:rPr>
        <w:t xml:space="preserve">95,7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 от</w:t>
      </w:r>
      <w:r>
        <w:rPr>
          <w:color w:val="auto"/>
          <w:sz w:val="28"/>
          <w:szCs w:val="28"/>
        </w:rPr>
        <w:t xml:space="preserve"> кассового план</w:t>
      </w:r>
      <w:r>
        <w:rPr>
          <w:color w:val="000000" w:themeColor="text1"/>
          <w:sz w:val="28"/>
          <w:szCs w:val="28"/>
        </w:rPr>
        <w:t xml:space="preserve">а января-</w:t>
      </w:r>
      <w:r>
        <w:rPr>
          <w:color w:val="000000" w:themeColor="text1"/>
          <w:sz w:val="28"/>
          <w:szCs w:val="28"/>
        </w:rPr>
        <w:t xml:space="preserve">августа 2024 года.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32"/>
        </w:rPr>
      </w:pPr>
      <w:r>
        <w:rPr>
          <w:color w:val="000000" w:themeColor="text1"/>
          <w:sz w:val="20"/>
          <w:szCs w:val="28"/>
        </w:rPr>
        <w:t xml:space="preserve"> </w:t>
      </w:r>
      <w:r>
        <w:rPr>
          <w:color w:val="000000" w:themeColor="text1"/>
          <w:sz w:val="28"/>
          <w:szCs w:val="32"/>
        </w:rPr>
      </w:r>
      <w:r>
        <w:rPr>
          <w:color w:val="000000" w:themeColor="text1"/>
          <w:sz w:val="28"/>
          <w:szCs w:val="32"/>
        </w:rPr>
      </w:r>
    </w:p>
    <w:p>
      <w:pPr>
        <w:ind w:firstLine="709"/>
        <w:spacing w:line="240" w:lineRule="auto"/>
        <w:rPr>
          <w:b/>
          <w:color w:val="000000" w:themeColor="text1"/>
          <w:sz w:val="12"/>
          <w:szCs w:val="28"/>
        </w:rPr>
      </w:pPr>
      <w:r>
        <w:rPr>
          <w:color w:val="000000" w:themeColor="text1"/>
          <w:sz w:val="28"/>
          <w:szCs w:val="28"/>
        </w:rPr>
        <w:t xml:space="preserve">Поступления доходов за январь-</w:t>
      </w:r>
      <w:r>
        <w:rPr>
          <w:color w:val="000000" w:themeColor="text1"/>
          <w:sz w:val="28"/>
          <w:szCs w:val="28"/>
        </w:rPr>
        <w:t xml:space="preserve">август 2025 года превысили выплаты                             по расходам на сумм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c0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85 94</w:t>
      </w:r>
      <w:r>
        <w:rPr>
          <w:color w:val="000000" w:themeColor="text1"/>
          <w:sz w:val="28"/>
          <w:szCs w:val="28"/>
        </w:rPr>
        <w:t xml:space="preserve">8,9</w:t>
      </w:r>
      <w:r>
        <w:rPr>
          <w:color w:val="000000" w:themeColor="text1"/>
          <w:sz w:val="28"/>
          <w:szCs w:val="28"/>
        </w:rPr>
        <w:t xml:space="preserve"> тыс. </w:t>
      </w:r>
      <w:r>
        <w:rPr>
          <w:color w:val="000000" w:themeColor="text1"/>
          <w:sz w:val="28"/>
          <w:szCs w:val="28"/>
        </w:rPr>
        <w:t xml:space="preserve">руб.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  <w:sz w:val="12"/>
          <w:szCs w:val="28"/>
        </w:rPr>
      </w:r>
      <w:r>
        <w:rPr>
          <w:b/>
          <w:color w:val="000000" w:themeColor="text1"/>
          <w:sz w:val="12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000000" w:themeColor="text1"/>
          <w:szCs w:val="20"/>
        </w:rPr>
      </w:pP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numPr>
          <w:ilvl w:val="0"/>
          <w:numId w:val="1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color w:val="000000" w:themeColor="text1"/>
          <w:sz w:val="28"/>
          <w:szCs w:val="22"/>
        </w:rPr>
      </w:pPr>
      <w:r>
        <w:rPr>
          <w:rFonts w:eastAsia="Calibri"/>
          <w:b/>
          <w:caps/>
          <w:color w:val="000000" w:themeColor="text1"/>
          <w:sz w:val="28"/>
          <w:szCs w:val="22"/>
          <w:lang w:eastAsia="en-US"/>
        </w:rPr>
        <w:t xml:space="preserve">ИСПОЛНЕНИЕ БЮДЖЕТА ПО ДОХОДАМ </w:t>
      </w:r>
      <w:r>
        <w:rPr>
          <w:rFonts w:eastAsia="Calibri"/>
          <w:b/>
          <w:caps/>
          <w:color w:val="000000" w:themeColor="text1"/>
          <w:sz w:val="28"/>
          <w:szCs w:val="22"/>
        </w:rPr>
      </w:r>
      <w:r>
        <w:rPr>
          <w:rFonts w:eastAsia="Calibri"/>
          <w:b/>
          <w:caps/>
          <w:color w:val="000000" w:themeColor="text1"/>
          <w:sz w:val="28"/>
          <w:szCs w:val="22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(приложение 1 к настоящей записке)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Нал</w:t>
      </w:r>
      <w:r>
        <w:rPr>
          <w:b/>
          <w:color w:val="000000" w:themeColor="text1"/>
          <w:sz w:val="28"/>
          <w:szCs w:val="28"/>
        </w:rPr>
        <w:t xml:space="preserve">оговые доходы</w:t>
      </w:r>
      <w:r>
        <w:rPr>
          <w:color w:val="000000" w:themeColor="text1"/>
          <w:sz w:val="28"/>
          <w:szCs w:val="28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</w:rPr>
        <w:t xml:space="preserve">су</w:t>
      </w:r>
      <w:r>
        <w:rPr>
          <w:color w:val="000000" w:themeColor="text1"/>
          <w:sz w:val="28"/>
          <w:szCs w:val="28"/>
        </w:rPr>
        <w:t xml:space="preserve">мме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15 387 705,6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</w:t>
      </w:r>
      <w:r>
        <w:rPr>
          <w:color w:val="000000" w:themeColor="text1"/>
          <w:sz w:val="28"/>
          <w:szCs w:val="28"/>
        </w:rPr>
        <w:t xml:space="preserve">. руб., </w:t>
      </w:r>
      <w:r>
        <w:rPr>
          <w:color w:val="000000" w:themeColor="text1"/>
          <w:sz w:val="28"/>
          <w:szCs w:val="28"/>
        </w:rPr>
        <w:t xml:space="preserve">или </w:t>
      </w:r>
      <w:r>
        <w:rPr>
          <w:b/>
          <w:bCs/>
          <w:color w:val="000000" w:themeColor="text1"/>
          <w:sz w:val="28"/>
          <w:szCs w:val="28"/>
        </w:rPr>
        <w:t xml:space="preserve">96,2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января-</w:t>
      </w:r>
      <w:r>
        <w:rPr>
          <w:color w:val="000000" w:themeColor="text1"/>
          <w:sz w:val="28"/>
          <w:szCs w:val="28"/>
        </w:rPr>
        <w:t xml:space="preserve">августа 2025 года (</w:t>
      </w:r>
      <w:r>
        <w:rPr>
          <w:color w:val="000000" w:themeColor="text1"/>
          <w:sz w:val="28"/>
          <w:szCs w:val="28"/>
        </w:rPr>
        <w:t xml:space="preserve">15 994 645,8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руб.) и </w:t>
      </w:r>
      <w:r>
        <w:rPr>
          <w:b/>
          <w:bCs/>
          <w:color w:val="000000" w:themeColor="text1"/>
          <w:sz w:val="28"/>
          <w:szCs w:val="28"/>
        </w:rPr>
        <w:t xml:space="preserve">54,8 % </w:t>
      </w:r>
      <w:r>
        <w:rPr>
          <w:color w:val="000000" w:themeColor="text1"/>
          <w:sz w:val="28"/>
          <w:szCs w:val="28"/>
        </w:rPr>
        <w:t xml:space="preserve">к плану </w:t>
      </w:r>
      <w:r>
        <w:rPr>
          <w:color w:val="000000" w:themeColor="text1"/>
          <w:sz w:val="28"/>
          <w:szCs w:val="28"/>
        </w:rPr>
        <w:t xml:space="preserve">года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28 065 221,0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</w:t>
      </w:r>
      <w:r>
        <w:rPr>
          <w:color w:val="000000" w:themeColor="text1"/>
          <w:sz w:val="28"/>
          <w:szCs w:val="28"/>
        </w:rPr>
        <w:t xml:space="preserve">.). За аналогичный период прошлого года поступления </w:t>
      </w:r>
      <w:r>
        <w:rPr>
          <w:color w:val="000000" w:themeColor="text1"/>
          <w:sz w:val="28"/>
          <w:szCs w:val="28"/>
        </w:rPr>
        <w:t xml:space="preserve">налоговых доходов составляли </w:t>
      </w:r>
      <w:r>
        <w:rPr>
          <w:color w:val="000000" w:themeColor="text1"/>
          <w:sz w:val="28"/>
          <w:szCs w:val="28"/>
        </w:rPr>
        <w:t xml:space="preserve">13 447 832,7</w:t>
      </w:r>
      <w:r>
        <w:rPr>
          <w:color w:val="000000" w:themeColor="text1"/>
          <w:sz w:val="28"/>
          <w:szCs w:val="28"/>
        </w:rPr>
        <w:t xml:space="preserve"> 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Неналоговые доходы</w:t>
      </w:r>
      <w:r>
        <w:rPr>
          <w:color w:val="000000" w:themeColor="text1"/>
          <w:sz w:val="28"/>
          <w:szCs w:val="28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</w:rPr>
        <w:t xml:space="preserve">су</w:t>
      </w:r>
      <w:r>
        <w:rPr>
          <w:color w:val="000000" w:themeColor="text1"/>
          <w:sz w:val="28"/>
          <w:szCs w:val="28"/>
        </w:rPr>
        <w:t xml:space="preserve">мме </w:t>
      </w:r>
      <w:r>
        <w:rPr>
          <w:b/>
          <w:bCs/>
          <w:color w:val="000000" w:themeColor="text1"/>
          <w:sz w:val="28"/>
          <w:szCs w:val="28"/>
        </w:rPr>
        <w:t xml:space="preserve">4 990 500,3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или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101,3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к плану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января-</w:t>
      </w:r>
      <w:r>
        <w:rPr>
          <w:color w:val="000000" w:themeColor="text1"/>
          <w:sz w:val="28"/>
          <w:szCs w:val="28"/>
        </w:rPr>
        <w:t xml:space="preserve">августа 2025 года (</w:t>
      </w:r>
      <w:r>
        <w:rPr>
          <w:color w:val="000000" w:themeColor="text1"/>
          <w:sz w:val="28"/>
          <w:szCs w:val="28"/>
        </w:rPr>
        <w:t xml:space="preserve">4 925 9</w:t>
      </w:r>
      <w:r>
        <w:rPr>
          <w:color w:val="000000" w:themeColor="text1"/>
          <w:sz w:val="28"/>
          <w:szCs w:val="28"/>
        </w:rPr>
        <w:t xml:space="preserve">73,5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руб.) 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63,7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к плану </w:t>
      </w:r>
      <w:r>
        <w:rPr>
          <w:color w:val="000000" w:themeColor="text1"/>
          <w:sz w:val="28"/>
          <w:szCs w:val="28"/>
        </w:rPr>
        <w:t xml:space="preserve">года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7 828 489,0</w:t>
      </w:r>
      <w:r>
        <w:rPr>
          <w:color w:val="000000" w:themeColor="text1"/>
          <w:sz w:val="28"/>
          <w:szCs w:val="28"/>
        </w:rPr>
        <w:t xml:space="preserve"> тыс. руб.). За аналогичный период прошлого года поступления неналоговых доходов составл</w:t>
      </w:r>
      <w:r>
        <w:rPr>
          <w:color w:val="000000" w:themeColor="text1"/>
          <w:sz w:val="28"/>
          <w:szCs w:val="28"/>
        </w:rPr>
        <w:t xml:space="preserve">яли </w:t>
      </w:r>
      <w:r>
        <w:rPr>
          <w:color w:val="000000" w:themeColor="text1"/>
          <w:sz w:val="28"/>
          <w:szCs w:val="28"/>
        </w:rPr>
        <w:t xml:space="preserve">5 211 102,9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Безвозмезд</w:t>
      </w:r>
      <w:r>
        <w:rPr>
          <w:b/>
          <w:color w:val="000000" w:themeColor="text1"/>
          <w:sz w:val="28"/>
          <w:szCs w:val="28"/>
        </w:rPr>
        <w:t xml:space="preserve">ные поступления</w:t>
      </w:r>
      <w:r>
        <w:rPr>
          <w:color w:val="000000" w:themeColor="text1"/>
          <w:sz w:val="28"/>
          <w:szCs w:val="28"/>
        </w:rPr>
        <w:t xml:space="preserve"> от бюджетов других уровней поступили в сумме         </w:t>
      </w:r>
      <w:r>
        <w:rPr>
          <w:b/>
          <w:bCs/>
          <w:color w:val="000000" w:themeColor="text1"/>
          <w:sz w:val="28"/>
          <w:szCs w:val="28"/>
        </w:rPr>
        <w:t xml:space="preserve">15 996 199,4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ыс. руб., или </w:t>
      </w:r>
      <w:r>
        <w:rPr>
          <w:b/>
          <w:bCs/>
          <w:color w:val="000000" w:themeColor="text1"/>
          <w:sz w:val="28"/>
          <w:szCs w:val="28"/>
        </w:rPr>
        <w:t xml:space="preserve">99,</w:t>
      </w:r>
      <w:r>
        <w:rPr>
          <w:b/>
          <w:bCs/>
          <w:color w:val="000000" w:themeColor="text1"/>
          <w:sz w:val="28"/>
          <w:szCs w:val="28"/>
        </w:rPr>
        <w:t xml:space="preserve">4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января-</w:t>
      </w:r>
      <w:r>
        <w:rPr>
          <w:color w:val="000000" w:themeColor="text1"/>
          <w:sz w:val="28"/>
          <w:szCs w:val="28"/>
          <w:highlight w:val="white"/>
        </w:rPr>
        <w:t xml:space="preserve">августа 2025</w:t>
      </w:r>
      <w:r>
        <w:rPr>
          <w:color w:val="000000" w:themeColor="text1"/>
          <w:sz w:val="28"/>
          <w:szCs w:val="28"/>
          <w:highlight w:val="white"/>
        </w:rPr>
        <w:t xml:space="preserve"> года (</w:t>
      </w:r>
      <w:r>
        <w:rPr>
          <w:color w:val="000000" w:themeColor="text1"/>
          <w:sz w:val="28"/>
          <w:szCs w:val="28"/>
          <w:highlight w:val="white"/>
        </w:rPr>
        <w:t xml:space="preserve">16 091 106,0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руб.)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58,0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к плану года (</w:t>
      </w:r>
      <w:r>
        <w:rPr>
          <w:color w:val="000000" w:themeColor="text1"/>
          <w:sz w:val="28"/>
          <w:szCs w:val="28"/>
          <w:highlight w:val="white"/>
        </w:rPr>
        <w:t xml:space="preserve">27 579 375,7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</w:t>
      </w:r>
      <w:r>
        <w:rPr>
          <w:color w:val="000000" w:themeColor="text1"/>
          <w:sz w:val="28"/>
          <w:szCs w:val="28"/>
        </w:rPr>
        <w:t xml:space="preserve">уб.). За ана</w:t>
      </w:r>
      <w:r>
        <w:rPr>
          <w:color w:val="000000" w:themeColor="text1"/>
          <w:sz w:val="28"/>
          <w:szCs w:val="28"/>
        </w:rPr>
        <w:t xml:space="preserve">логичный период прошлого года поступления составляли </w:t>
      </w:r>
      <w:r>
        <w:rPr>
          <w:color w:val="000000" w:themeColor="text1"/>
          <w:sz w:val="28"/>
          <w:szCs w:val="28"/>
        </w:rPr>
        <w:t xml:space="preserve">16 796 887,3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исполнения плана по доходам за январь-</w:t>
      </w:r>
      <w:r>
        <w:rPr>
          <w:color w:val="000000" w:themeColor="text1"/>
          <w:sz w:val="28"/>
          <w:szCs w:val="28"/>
        </w:rPr>
        <w:t xml:space="preserve">август 2025 года по осно</w:t>
      </w:r>
      <w:r>
        <w:rPr>
          <w:color w:val="000000" w:themeColor="text1"/>
          <w:sz w:val="28"/>
          <w:szCs w:val="28"/>
        </w:rPr>
        <w:t xml:space="preserve">вным </w:t>
      </w:r>
      <w:r>
        <w:rPr>
          <w:color w:val="000000" w:themeColor="text1"/>
          <w:sz w:val="28"/>
          <w:szCs w:val="28"/>
        </w:rPr>
        <w:t xml:space="preserve">бюджетообразующим</w:t>
      </w:r>
      <w:r>
        <w:rPr>
          <w:color w:val="000000" w:themeColor="text1"/>
          <w:sz w:val="28"/>
          <w:szCs w:val="28"/>
        </w:rPr>
        <w:t xml:space="preserve"> поступлениям выглядит следующим образом: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highlight w:val="white"/>
        </w:rPr>
        <w:suppressLineNumbers w:val="0"/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01.09.2025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составило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11 571 985,9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92,3 % к плану отчетного периода (12 538 528,4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53,9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уточненному плану года (</w:t>
      </w:r>
      <w:r>
        <w:rPr>
          <w:color w:val="000000" w:themeColor="text1"/>
          <w:sz w:val="28"/>
          <w:szCs w:val="28"/>
          <w:highlight w:val="white"/>
        </w:rPr>
        <w:t xml:space="preserve">21 478 832,2                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За семь месяцев 2025 года сумма возвратов составила 1 399 856,3 тыс. руб.,                     </w:t>
      </w:r>
      <w:r>
        <w:rPr>
          <w:color w:val="000000" w:themeColor="text1"/>
          <w:sz w:val="28"/>
          <w:szCs w:val="28"/>
          <w:highlight w:val="none"/>
        </w:rPr>
        <w:t xml:space="preserve">что на 275 495,9 тыс. руб. больше относительно аналогичного периода прошлого года, или на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24,5 %.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110,3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000000" w:themeColor="text1"/>
          <w:sz w:val="24"/>
          <w:szCs w:val="24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18 860,8</w:t>
      </w:r>
      <w:r>
        <w:rPr>
          <w:iCs/>
          <w:color w:val="000000" w:themeColor="text1"/>
          <w:sz w:val="28"/>
          <w:szCs w:val="28"/>
          <w:highlight w:val="white"/>
        </w:rPr>
        <w:t xml:space="preserve">                тыс. руб., или 58,0 % к плану отчетного периода (32 497,1 тыс. руб.) и 35,6 % к плану года (52 994,3 тыс. руб.).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  <w:t xml:space="preserve">Услуги по временному проживанию фактически приобретены меньшим количеством лиц, планируемым к размещению.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850"/>
        <w:jc w:val="both"/>
        <w:spacing w:before="0" w:after="0" w:line="240" w:lineRule="auto"/>
        <w:tabs>
          <w:tab w:val="left" w:pos="850" w:leader="none"/>
        </w:tabs>
        <w:rPr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4"/>
          <w:szCs w:val="24"/>
          <w:highlight w:val="none"/>
          <w14:ligatures w14:val="none"/>
        </w:rPr>
      </w:r>
      <w:r>
        <w:rPr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930 488,3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99,4 % к плану отчетного периода (935 989,0 тыс. руб.) и 73,9 % к плану года (1 259 409,1                  тыс. руб.).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107,3 %. </w:t>
      </w:r>
      <w:r>
        <w:rPr>
          <w:iCs/>
          <w:color w:val="000000" w:themeColor="text1"/>
          <w:sz w:val="28"/>
          <w:szCs w:val="28"/>
          <w:highlight w:val="white"/>
        </w:rPr>
      </w:r>
      <w:r/>
    </w:p>
    <w:p>
      <w:pPr>
        <w:contextualSpacing w:val="0"/>
        <w:ind w:firstLine="851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pStyle w:val="762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патентной системы налогообложения,</w:t>
      </w:r>
      <w:r>
        <w:rPr>
          <w:iCs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338 594,5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                           или 102,4 % к плану отчетного периода (330 592,3 тыс. руб.) и 55,0 % к пл</w:t>
      </w:r>
      <w:r>
        <w:rPr>
          <w:iCs/>
          <w:color w:val="000000" w:themeColor="text1"/>
          <w:sz w:val="28"/>
          <w:szCs w:val="28"/>
          <w:highlight w:val="white"/>
        </w:rPr>
        <w:t xml:space="preserve">ану года </w:t>
        <w:br/>
        <w:t xml:space="preserve">(615 839,4 тыс. руб.). 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widowControl w:val="off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108,3 %.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62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000000" w:themeColor="text1"/>
          <w:sz w:val="28"/>
          <w:szCs w:val="28"/>
        </w:rPr>
        <w:suppressLineNumbers w:val="0"/>
      </w:pPr>
      <w:r>
        <w:rPr>
          <w:iCs/>
          <w:color w:val="000000" w:themeColor="text1"/>
          <w:sz w:val="28"/>
          <w:szCs w:val="28"/>
        </w:rPr>
        <w:t xml:space="preserve">В соответствии с формой налого</w:t>
      </w:r>
      <w:r>
        <w:rPr>
          <w:iCs/>
          <w:color w:val="000000" w:themeColor="text1"/>
          <w:sz w:val="28"/>
          <w:szCs w:val="28"/>
        </w:rPr>
        <w:t xml:space="preserve">вой отчетности 1-Патент по состоянию                              на 01.07.2025 количество выданных патентов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относительно прошлого года </w:t>
      </w:r>
      <w:r>
        <w:rPr>
          <w:iCs/>
          <w:color w:val="000000" w:themeColor="text1"/>
          <w:sz w:val="28"/>
          <w:szCs w:val="28"/>
        </w:rPr>
        <w:t xml:space="preserve">выросло </w:t>
      </w:r>
      <w:r>
        <w:rPr>
          <w:iCs/>
          <w:color w:val="000000" w:themeColor="text1"/>
          <w:sz w:val="28"/>
          <w:szCs w:val="28"/>
        </w:rPr>
        <w:t xml:space="preserve">                   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7,0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%, </w:t>
      </w:r>
      <w:r>
        <w:rPr>
          <w:iCs/>
          <w:color w:val="000000" w:themeColor="text1"/>
          <w:sz w:val="28"/>
          <w:szCs w:val="28"/>
        </w:rPr>
        <w:t xml:space="preserve">или на 1 407 единицы.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налогу на имущество физических лиц </w:t>
      </w:r>
      <w:r>
        <w:rPr>
          <w:iCs/>
          <w:color w:val="000000" w:themeColor="text1"/>
          <w:sz w:val="28"/>
          <w:szCs w:val="28"/>
          <w:highlight w:val="none"/>
        </w:rPr>
        <w:t xml:space="preserve">поступление составило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  <w:u w:val="none"/>
          <w:vertAlign w:val="baseline"/>
        </w:rPr>
        <w:t xml:space="preserve">271 463,2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  <w:t xml:space="preserve">тыс.</w:t>
      </w:r>
      <w:r>
        <w:rPr>
          <w:iCs/>
          <w:color w:val="000000" w:themeColor="text1"/>
          <w:sz w:val="28"/>
          <w:szCs w:val="28"/>
          <w:highlight w:val="none"/>
        </w:rPr>
        <w:t xml:space="preserve"> руб., что превышает план отчетного периода в 3,6 раза </w:t>
      </w:r>
      <w:r>
        <w:rPr>
          <w:iCs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  <w:u w:val="none"/>
          <w:vertAlign w:val="baseline"/>
        </w:rPr>
        <w:t xml:space="preserve">7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  <w:u w:val="none"/>
          <w:vertAlign w:val="baseline"/>
        </w:rPr>
        <w:t xml:space="preserve">5 900,0</w:t>
      </w:r>
      <w:r>
        <w:rPr>
          <w:iCs/>
          <w:color w:val="000000" w:themeColor="text1"/>
          <w:sz w:val="28"/>
          <w:szCs w:val="28"/>
          <w:highlight w:val="none"/>
        </w:rPr>
        <w:t xml:space="preserve"> тыс. руб.)                        </w:t>
      </w:r>
      <w:r>
        <w:rPr>
          <w:iCs/>
          <w:color w:val="000000" w:themeColor="text1"/>
          <w:sz w:val="28"/>
          <w:szCs w:val="28"/>
          <w:highlight w:val="none"/>
        </w:rPr>
        <w:t xml:space="preserve">и составляет 18,3 % к плану года (1 486 170,1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00000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Значительное перевыполнение плана отчетного периода связано с поступлением авансовых платежей по сроку уплаты 01 декабря 2025 года.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  <w:t xml:space="preserve">Относительно аналогичного периода прошлого года поступления </w:t>
      </w:r>
      <w:r>
        <w:rPr>
          <w:iCs/>
          <w:color w:val="000000" w:themeColor="text1"/>
          <w:sz w:val="28"/>
          <w:szCs w:val="28"/>
          <w:highlight w:val="none"/>
        </w:rPr>
        <w:t xml:space="preserve">увеличились                   в 4,5 раза.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b/>
          <w:color w:val="7030a0"/>
          <w:sz w:val="28"/>
          <w:szCs w:val="28"/>
          <w:highlight w:val="white"/>
        </w:rPr>
        <w:suppressLineNumbers w:val="0"/>
      </w:pPr>
      <w:r>
        <w:rPr>
          <w:b/>
          <w:color w:val="7030a0"/>
          <w:sz w:val="28"/>
          <w:szCs w:val="28"/>
          <w:highlight w:val="white"/>
        </w:rPr>
      </w:r>
      <w:r>
        <w:rPr>
          <w:b/>
          <w:color w:val="7030a0"/>
          <w:sz w:val="28"/>
          <w:szCs w:val="28"/>
          <w:highlight w:val="white"/>
        </w:rPr>
      </w:r>
      <w:r>
        <w:rPr>
          <w:b/>
          <w:color w:val="7030a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</w:t>
      </w:r>
      <w:r>
        <w:rPr>
          <w:color w:val="000000" w:themeColor="text1"/>
          <w:sz w:val="28"/>
          <w:szCs w:val="28"/>
          <w:highlight w:val="white"/>
        </w:rPr>
        <w:t xml:space="preserve">ставило </w:t>
      </w:r>
      <w:r>
        <w:rPr>
          <w:color w:val="000000" w:themeColor="text1"/>
          <w:sz w:val="28"/>
          <w:szCs w:val="28"/>
          <w:highlight w:val="white"/>
        </w:rPr>
        <w:t xml:space="preserve">1 768 789,9</w:t>
      </w:r>
      <w:r>
        <w:rPr>
          <w:color w:val="000000" w:themeColor="text1"/>
          <w:sz w:val="28"/>
          <w:szCs w:val="28"/>
          <w:highlight w:val="white"/>
        </w:rPr>
        <w:t xml:space="preserve">                        тыс. руб., что на 10,5 % превышает план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1 600 886,0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               и составляет 72,5 % к уточненному плану года  (2 439 929,8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увеличились на 18,4 %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На перевы</w:t>
      </w:r>
      <w:r>
        <w:rPr>
          <w:color w:val="000000" w:themeColor="text1"/>
          <w:sz w:val="28"/>
          <w:szCs w:val="28"/>
          <w:highlight w:val="white"/>
        </w:rPr>
        <w:t xml:space="preserve">полнение плана отчетн</w:t>
      </w:r>
      <w:r>
        <w:rPr>
          <w:color w:val="000000" w:themeColor="text1"/>
          <w:sz w:val="28"/>
          <w:szCs w:val="28"/>
          <w:highlight w:val="white"/>
        </w:rPr>
        <w:t xml:space="preserve">ого периода повлияло поступление авансовых платежей по земельному налогу физических лиц по сроку уплаты 01 декабря 2025 года, а также увеличение ставки земельного налога с 01.01.2025 года с 0,3 % до 1,5 %                     в отношении земельных участков,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занятых жилищным фондом и (или) объектами инженерной инфраструктуры жилищно-коммунального комплекса, </w:t>
      </w:r>
      <w:r>
        <w:rPr>
          <w:color w:val="000000" w:themeColor="text1"/>
          <w:sz w:val="28"/>
          <w:szCs w:val="28"/>
          <w:highlight w:val="white"/>
        </w:rPr>
        <w:t xml:space="preserve">кадастровая стоимость которых превышает 300,0 млн. руб.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308 315,4 тыс. руб., что на 23,0 %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(250 692,0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78,4 %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(3</w:t>
      </w:r>
      <w:r>
        <w:rPr>
          <w:color w:val="000000" w:themeColor="text1"/>
          <w:sz w:val="28"/>
          <w:szCs w:val="28"/>
          <w:highlight w:val="white"/>
        </w:rPr>
        <w:t xml:space="preserve">93 350,3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 увеличились на 43,3 % (на 93 199,7 тыс. руб.) </w:t>
      </w:r>
      <w:r>
        <w:rPr>
          <w:color w:val="000000" w:themeColor="text1"/>
          <w:sz w:val="28"/>
          <w:szCs w:val="28"/>
          <w:highlight w:val="white"/>
        </w:rPr>
        <w:t xml:space="preserve">за счет поступления средств от продажи права на заключение договоров аренды земельных участков на торгах.               </w:t>
      </w:r>
      <w:r>
        <w:rPr>
          <w:color w:val="000000" w:themeColor="text1"/>
          <w:sz w:val="28"/>
          <w:szCs w:val="28"/>
          <w:highlight w:val="white"/>
        </w:rPr>
        <w:tab/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169 190,3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100,2 % от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168 800,0</w:t>
      </w:r>
      <w:r>
        <w:rPr>
          <w:color w:val="000000" w:themeColor="text1"/>
          <w:sz w:val="28"/>
          <w:szCs w:val="28"/>
          <w:highlight w:val="white"/>
        </w:rPr>
        <w:t xml:space="preserve">                   тыс. руб.) и меньше объема аналогичного периода прошлого года н</w:t>
      </w:r>
      <w:r>
        <w:rPr>
          <w:color w:val="000000" w:themeColor="text1"/>
          <w:sz w:val="28"/>
          <w:szCs w:val="28"/>
          <w:highlight w:val="white"/>
        </w:rPr>
        <w:t xml:space="preserve">а 14 561,6</w:t>
      </w:r>
      <w:r>
        <w:rPr>
          <w:color w:val="000000" w:themeColor="text1"/>
          <w:sz w:val="28"/>
          <w:szCs w:val="28"/>
          <w:highlight w:val="white"/>
        </w:rPr>
        <w:t xml:space="preserve"> тыс. руб.;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139 125,1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1,7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81 892,0</w:t>
      </w:r>
      <w:r>
        <w:rPr>
          <w:color w:val="000000" w:themeColor="text1"/>
          <w:sz w:val="28"/>
          <w:szCs w:val="28"/>
          <w:highlight w:val="white"/>
        </w:rPr>
        <w:t xml:space="preserve"> тыс. руб.).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еревыполнение в значительной части сложилось </w:t>
      </w:r>
      <w:r>
        <w:rPr>
          <w:color w:val="000000" w:themeColor="text1"/>
          <w:sz w:val="28"/>
          <w:szCs w:val="28"/>
          <w:highlight w:val="white"/>
        </w:rPr>
        <w:t xml:space="preserve">за счет поступления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на, на котором </w:t>
      </w:r>
      <w:r>
        <w:rPr>
          <w:color w:val="000000" w:themeColor="text1"/>
          <w:sz w:val="28"/>
          <w:szCs w:val="28"/>
          <w:highlight w:val="white"/>
        </w:rPr>
        <w:t xml:space="preserve">было реализовано право на заключение договоров аренды земельных участков для строительства объектов производственного и складского назначения по ул. Промышленной, 135Б                  и 135В, состоявшегося 26 декабря 2024 года, в сумме 29 201,2 тыс. руб.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br/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                           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49 695,4 тыс. руб., что составляет 73,4</w:t>
      </w:r>
      <w:r>
        <w:rPr>
          <w:color w:val="000000" w:themeColor="text1"/>
          <w:sz w:val="28"/>
          <w:szCs w:val="28"/>
          <w:highlight w:val="white"/>
        </w:rPr>
        <w:t xml:space="preserve"> % к плану отчетного периода (67 664,7 тыс. руб.) и 29,3 % к плану года </w:t>
      </w:r>
      <w:r>
        <w:rPr>
          <w:color w:val="000000" w:themeColor="text1"/>
          <w:sz w:val="28"/>
          <w:szCs w:val="28"/>
          <w:highlight w:val="white"/>
        </w:rPr>
        <w:t xml:space="preserve">(169 383,1 тыс. руб.). </w:t>
      </w:r>
      <w:r>
        <w:rPr>
          <w:color w:val="000000" w:themeColor="text1"/>
          <w:sz w:val="28"/>
          <w:szCs w:val="28"/>
          <w:highlight w:val="white"/>
        </w:rPr>
        <w:t xml:space="preserve">В 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38 916,7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на 20,1 %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32 407,0</w:t>
      </w:r>
      <w:r>
        <w:rPr>
          <w:color w:val="000000" w:themeColor="text1"/>
          <w:sz w:val="28"/>
          <w:szCs w:val="28"/>
          <w:highlight w:val="white"/>
        </w:rPr>
        <w:t xml:space="preserve"> тыс. руб.)        и больше объема аналогичного периода прошлого года на 13 091,9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обусловлено поступлением оплат по договорам аренды, заключенным после формирования проекта бюджетного задания на 2025 год;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продажи права на заключение договоров аренды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10 778,7 тыс. руб., что на 69,4 % меньше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</w:t>
      </w:r>
      <w:r>
        <w:rPr>
          <w:color w:val="000000" w:themeColor="text1"/>
          <w:sz w:val="28"/>
          <w:szCs w:val="28"/>
          <w:highlight w:val="white"/>
        </w:rPr>
        <w:t xml:space="preserve"> (35 257,7 тыс.руб.). </w:t>
      </w:r>
      <w:r>
        <w:rPr>
          <w:color w:val="000000" w:themeColor="text1"/>
          <w:sz w:val="28"/>
          <w:szCs w:val="28"/>
          <w:highlight w:val="white"/>
        </w:rPr>
        <w:t xml:space="preserve">Неисполнение кассового плана обусловлено выбытием из арендного фонда земельного уч</w:t>
      </w:r>
      <w:r>
        <w:rPr>
          <w:color w:val="000000" w:themeColor="text1"/>
          <w:sz w:val="28"/>
          <w:szCs w:val="28"/>
          <w:highlight w:val="white"/>
        </w:rPr>
        <w:t xml:space="preserve">астка, распо</w:t>
      </w:r>
      <w:r>
        <w:rPr>
          <w:color w:val="000000" w:themeColor="text1"/>
          <w:sz w:val="28"/>
          <w:szCs w:val="28"/>
          <w:highlight w:val="white"/>
        </w:rPr>
        <w:t xml:space="preserve">ложенного по адресу ул. Магистральная, 86б, предоставленного под строительство жилого комплекса. В июле 2025 года осуществлена государственная регистрация общедолевой собственности на объекты недвижимости, расположенные </w:t>
      </w:r>
      <w:r>
        <w:rPr>
          <w:color w:val="000000" w:themeColor="text1"/>
          <w:sz w:val="28"/>
          <w:szCs w:val="28"/>
          <w:highlight w:val="white"/>
        </w:rPr>
        <w:t xml:space="preserve">               в многоквартирном доме. </w:t>
      </w:r>
      <w:r>
        <w:rPr>
          <w:color w:val="000000" w:themeColor="text1"/>
          <w:sz w:val="28"/>
          <w:szCs w:val="28"/>
          <w:highlight w:val="none"/>
        </w:rPr>
        <w:t xml:space="preserve">Кроме того, запланированная в 2025 году реализация                на аукционе права аренды земельного участка по ул. Зюкайская, 5 - Газонная, 21 переносится на 2026 год.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7030a0"/>
          <w:sz w:val="28"/>
          <w:szCs w:val="28"/>
          <w:highlight w:val="white"/>
        </w:rPr>
        <w:outlineLvl w:val="0"/>
        <w:suppressLineNumbers w:val="0"/>
      </w:pPr>
      <w:r>
        <w:rPr>
          <w:rFonts w:eastAsia="Calibri"/>
          <w:color w:val="7030a0"/>
          <w:sz w:val="28"/>
          <w:szCs w:val="28"/>
          <w:highlight w:val="none"/>
        </w:rPr>
      </w:r>
      <w:r>
        <w:rPr>
          <w:rFonts w:eastAsia="Calibri"/>
          <w:color w:val="7030a0"/>
          <w:sz w:val="28"/>
          <w:szCs w:val="28"/>
          <w:highlight w:val="white"/>
        </w:rPr>
      </w:r>
      <w:r>
        <w:rPr>
          <w:rFonts w:eastAsia="Calibri"/>
          <w:color w:val="7030a0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b/>
          <w:color w:val="7030a0"/>
          <w:sz w:val="28"/>
          <w:szCs w:val="28"/>
          <w:highlight w:val="none"/>
        </w:rPr>
        <w:tab/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поступили в сумме 53</w:t>
      </w:r>
      <w:r>
        <w:rPr>
          <w:rFonts w:eastAsia="Calibri"/>
          <w:color w:val="000000" w:themeColor="text1"/>
          <w:sz w:val="28"/>
          <w:szCs w:val="28"/>
          <w:highlight w:val="white"/>
          <w:lang w:val="en-US"/>
        </w:rPr>
        <w:t xml:space="preserve"> 898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,0 тыс. руб., что составляет 101,5 % от плана отчетного периода (53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66,6 %                       от плана года (80 987,0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 составили 100,5 %.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yellow"/>
        </w:rPr>
        <w:suppressLineNumbers w:val="0"/>
      </w:pP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чие доходы от использования имущества и прав, находящихся      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                     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 муниципальных унитарных предприятий, в том числе 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поступили                    в сумме 126 324,2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составляет 107,9 % от плана отчетного периода                      (117 045,5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68,0 % от плана года (185 836,2 тыс. 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договорам на размещение рекламных конструкций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                     66 797,8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101,4 %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(65 863,6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 63,8 %      к плану года (104 746,7 тыс. руб.).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 за сентябрь 2025 года;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договорам на размещение нестационарных объектов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админист-рируемые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11 668,7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1,9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(6 282,6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) и составляет 105,6 % к плану года (11 046,9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платежей, а также задолженности по договорам на размещение нестационарных торговых объектов.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Платежи при пользовании природными ресурсами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</w:t>
      </w:r>
      <w:r>
        <w:rPr>
          <w:color w:val="000000" w:themeColor="text1"/>
          <w:sz w:val="28"/>
          <w:szCs w:val="28"/>
          <w:highlight w:val="white"/>
        </w:rPr>
        <w:br/>
        <w:t xml:space="preserve">49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504,6 </w:t>
      </w:r>
      <w:r>
        <w:rPr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1,3 раза превышает план отчетного периода (39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597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,2                           тыс. руб.) и </w:t>
      </w:r>
      <w:r>
        <w:rPr>
          <w:color w:val="000000" w:themeColor="text1"/>
          <w:sz w:val="28"/>
          <w:szCs w:val="28"/>
          <w:highlight w:val="white"/>
        </w:rPr>
        <w:t xml:space="preserve">составляет 96,9 % от плана года (51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086,0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yellow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плата за негативное воздействие на окружающую среду,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администрируемая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color w:val="000000" w:themeColor="text1"/>
          <w:sz w:val="28"/>
          <w:szCs w:val="28"/>
          <w:highlight w:val="white"/>
        </w:rPr>
        <w:t xml:space="preserve">Западно-Уральским межрегиональным управлением </w:t>
      </w:r>
      <w:r>
        <w:rPr>
          <w:i/>
          <w:color w:val="000000" w:themeColor="text1"/>
          <w:sz w:val="28"/>
          <w:szCs w:val="28"/>
          <w:highlight w:val="white"/>
        </w:rPr>
        <w:t xml:space="preserve">Росприроднадзора,</w:t>
      </w:r>
      <w:r>
        <w:rPr>
          <w:color w:val="000000" w:themeColor="text1"/>
          <w:sz w:val="28"/>
          <w:szCs w:val="28"/>
          <w:highlight w:val="white"/>
        </w:rPr>
        <w:t xml:space="preserve"> поступила                    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124,0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1,3 раза превышает план отчетного периода (37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529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,6 тыс. руб.) и </w:t>
      </w:r>
      <w:r>
        <w:rPr>
          <w:color w:val="000000" w:themeColor="text1"/>
          <w:sz w:val="28"/>
          <w:szCs w:val="28"/>
          <w:highlight w:val="white"/>
        </w:rPr>
        <w:t xml:space="preserve">сост</w:t>
      </w:r>
      <w:r>
        <w:rPr>
          <w:color w:val="000000" w:themeColor="text1"/>
          <w:sz w:val="28"/>
          <w:szCs w:val="28"/>
          <w:highlight w:val="white"/>
        </w:rPr>
        <w:t xml:space="preserve">авляет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98,2 % от план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а года (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47 </w:t>
      </w:r>
      <w:r>
        <w:rPr>
          <w:color w:val="000000" w:themeColor="text1"/>
          <w:sz w:val="28"/>
          <w:szCs w:val="28"/>
          <w:highlight w:val="white"/>
        </w:rPr>
        <w:t xml:space="preserve">997,3 т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Перевыполнение плана отчетного периода обусловлено внесением платежей за сброс загрязняющих веществ с применением сверхлимитного повышающего коэффициента;</w:t>
      </w:r>
      <w:r>
        <w:rPr>
          <w:rFonts w:eastAsia="Calibri"/>
          <w:color w:val="000000" w:themeColor="text1"/>
          <w:sz w:val="28"/>
          <w:szCs w:val="28"/>
          <w:highlight w:val="yellow"/>
          <w14:ligatures w14:val="none"/>
        </w:rPr>
      </w:r>
      <w:r>
        <w:rPr>
          <w:rFonts w:eastAsia="Calibri"/>
          <w:color w:val="000000" w:themeColor="text1"/>
          <w:sz w:val="28"/>
          <w:szCs w:val="28"/>
          <w:highlight w:val="yellow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eastAsia="Calibri"/>
          <w:b/>
          <w:bCs/>
          <w:i/>
          <w:color w:val="000000" w:themeColor="text1"/>
          <w:sz w:val="28"/>
          <w:szCs w:val="28"/>
          <w:highlight w:val="white"/>
        </w:rPr>
        <w:t xml:space="preserve">плата за использование лесов,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 администрируемая управлением по экологии               и природопользованию,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поступила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380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,6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составляет 115,1 %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       к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плану отчетного периода (2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067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,6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77,1 % к плану года (3 088,7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Перевыполнение плана связано с досрочной оплатой по договорам аренды лесного участка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</w:t>
      </w:r>
      <w:r>
        <w:rPr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b/>
          <w:color w:val="000000" w:themeColor="text1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3 488 958,1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что составляет 96,2 </w:t>
      </w:r>
      <w:r>
        <w:rPr>
          <w:color w:val="000000" w:themeColor="text1"/>
          <w:sz w:val="28"/>
          <w:szCs w:val="28"/>
          <w:highlight w:val="white"/>
        </w:rPr>
        <w:t xml:space="preserve">% к плану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(3 625 864,1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 и 61,7</w:t>
      </w:r>
      <w:r>
        <w:rPr>
          <w:color w:val="000000" w:themeColor="text1"/>
          <w:sz w:val="28"/>
          <w:szCs w:val="28"/>
          <w:highlight w:val="white"/>
        </w:rPr>
        <w:t xml:space="preserve"> % к плану го</w:t>
      </w:r>
      <w:r>
        <w:rPr>
          <w:color w:val="000000" w:themeColor="text1"/>
          <w:sz w:val="28"/>
          <w:szCs w:val="28"/>
          <w:highlight w:val="white"/>
        </w:rPr>
        <w:t xml:space="preserve">да (</w:t>
      </w:r>
      <w:r>
        <w:rPr>
          <w:color w:val="000000" w:themeColor="text1"/>
          <w:sz w:val="28"/>
          <w:szCs w:val="28"/>
          <w:highlight w:val="white"/>
        </w:rPr>
        <w:t xml:space="preserve">5 651 966,4 </w:t>
      </w:r>
      <w:r>
        <w:rPr>
          <w:color w:val="000000" w:themeColor="text1"/>
          <w:sz w:val="28"/>
          <w:szCs w:val="28"/>
          <w:highlight w:val="white"/>
        </w:rPr>
        <w:t xml:space="preserve">тыс. </w:t>
      </w:r>
      <w:r>
        <w:rPr>
          <w:color w:val="000000" w:themeColor="text1"/>
          <w:sz w:val="28"/>
          <w:szCs w:val="28"/>
          <w:highlight w:val="white"/>
        </w:rPr>
        <w:t xml:space="preserve">руб.). </w:t>
      </w:r>
      <w:r>
        <w:rPr>
          <w:color w:val="000000" w:themeColor="text1"/>
          <w:sz w:val="28"/>
          <w:szCs w:val="28"/>
          <w:highlight w:val="white"/>
        </w:rPr>
        <w:tab/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проездных документов отдельным категориям граждан города Перми,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384 424,9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95,1 %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404 089,6</w:t>
      </w:r>
      <w:r>
        <w:rPr>
          <w:color w:val="000000" w:themeColor="text1"/>
          <w:sz w:val="28"/>
          <w:szCs w:val="28"/>
          <w:highlight w:val="white"/>
        </w:rPr>
        <w:t xml:space="preserve"> тыс. руб.) и </w:t>
      </w:r>
      <w:r>
        <w:rPr>
          <w:color w:val="000000" w:themeColor="text1"/>
          <w:sz w:val="28"/>
          <w:szCs w:val="28"/>
          <w:highlight w:val="white"/>
        </w:rPr>
        <w:t xml:space="preserve">58,8</w:t>
      </w:r>
      <w:r>
        <w:rPr>
          <w:color w:val="000000" w:themeColor="text1"/>
          <w:sz w:val="28"/>
          <w:szCs w:val="28"/>
          <w:highlight w:val="white"/>
        </w:rPr>
        <w:t xml:space="preserve"> %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653 882,1</w:t>
      </w:r>
      <w:r>
        <w:rPr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309 555,0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110,0 %           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281 403,6</w:t>
      </w:r>
      <w:r>
        <w:rPr>
          <w:color w:val="000000" w:themeColor="text1"/>
          <w:sz w:val="28"/>
          <w:szCs w:val="28"/>
          <w:highlight w:val="white"/>
        </w:rPr>
        <w:t xml:space="preserve"> тыс. руб.) и 73,1 %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423 200,8 </w:t>
      </w:r>
      <w:r>
        <w:rPr>
          <w:color w:val="000000" w:themeColor="text1"/>
          <w:sz w:val="28"/>
          <w:szCs w:val="28"/>
          <w:highlight w:val="white"/>
        </w:rPr>
        <w:t xml:space="preserve">              тыс. руб.);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2 736 559,0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             тыс. руб., или 94,5 % 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2 895 691,9</w:t>
      </w:r>
      <w:r>
        <w:rPr>
          <w:color w:val="000000" w:themeColor="text1"/>
          <w:sz w:val="28"/>
          <w:szCs w:val="28"/>
          <w:highlight w:val="white"/>
        </w:rPr>
        <w:t xml:space="preserve"> тыс. руб.) и 60,6 %              к плану года (</w:t>
      </w:r>
      <w:r>
        <w:rPr>
          <w:color w:val="000000" w:themeColor="text1"/>
          <w:sz w:val="28"/>
          <w:szCs w:val="28"/>
          <w:highlight w:val="white"/>
        </w:rPr>
        <w:t xml:space="preserve">4 515 290,6</w:t>
      </w:r>
      <w:r>
        <w:rPr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целом по доходам от платы за проезд выполнение составило 95,8 % от плана отчетного периода.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7030a0"/>
          <w:sz w:val="28"/>
          <w:szCs w:val="28"/>
          <w:highlight w:val="yellow"/>
        </w:rPr>
        <w:suppressLineNumbers w:val="0"/>
      </w:pP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продажи земельных </w:t>
      </w:r>
      <w:r>
        <w:rPr>
          <w:b/>
          <w:color w:val="000000" w:themeColor="text1"/>
          <w:sz w:val="28"/>
          <w:szCs w:val="28"/>
          <w:highlight w:val="white"/>
        </w:rPr>
        <w:t xml:space="preserve">участков, государственная собственность                 на которых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94 657,8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75,0 % к плану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126 130,0</w:t>
      </w:r>
      <w:r>
        <w:rPr>
          <w:color w:val="000000" w:themeColor="text1"/>
          <w:sz w:val="28"/>
          <w:szCs w:val="28"/>
          <w:highlight w:val="white"/>
        </w:rPr>
        <w:t xml:space="preserve"> тыс. руб.) и 46,7</w:t>
      </w:r>
      <w:r>
        <w:rPr>
          <w:color w:val="000000" w:themeColor="text1"/>
          <w:sz w:val="28"/>
          <w:szCs w:val="28"/>
          <w:highlight w:val="white"/>
        </w:rPr>
        <w:t xml:space="preserve"> % к плану года (202 788,7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color w:val="000000" w:themeColor="text1"/>
          <w:sz w:val="28"/>
          <w:szCs w:val="28"/>
          <w:highlight w:val="yellow"/>
        </w:rPr>
        <w:suppressLineNumbers w:val="0"/>
      </w:pPr>
      <w:r>
        <w:rPr>
          <w:b/>
          <w:color w:val="000000" w:themeColor="text1"/>
          <w:sz w:val="28"/>
          <w:szCs w:val="28"/>
          <w:highlight w:val="yellow"/>
        </w:rPr>
      </w:r>
      <w:r>
        <w:rPr>
          <w:b/>
          <w:color w:val="000000" w:themeColor="text1"/>
          <w:sz w:val="28"/>
          <w:szCs w:val="28"/>
          <w:highlight w:val="yellow"/>
        </w:rPr>
      </w:r>
      <w:r>
        <w:rPr>
          <w:b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</w:t>
      </w:r>
      <w:r>
        <w:rPr>
          <w:b/>
          <w:color w:val="000000" w:themeColor="text1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</w:r>
      <w:r>
        <w:rPr>
          <w:b/>
          <w:color w:val="000000" w:themeColor="text1"/>
          <w:sz w:val="28"/>
          <w:szCs w:val="28"/>
          <w:highlight w:val="white"/>
        </w:rPr>
        <w:t xml:space="preserve">собственность                   на которых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54 393,7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98,5 % от плана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55 200,0</w:t>
      </w:r>
      <w:r>
        <w:rPr>
          <w:color w:val="000000" w:themeColor="text1"/>
          <w:sz w:val="28"/>
          <w:szCs w:val="28"/>
          <w:highlight w:val="white"/>
        </w:rPr>
        <w:t xml:space="preserve"> тыс. руб.) и 56,1 % к уточненному плану года (96 901,9 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38 387,8 тыс. руб.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7030a0"/>
          <w:sz w:val="28"/>
          <w:szCs w:val="28"/>
          <w:highlight w:val="none"/>
        </w:rPr>
        <w:outlineLvl w:val="0"/>
        <w:suppressLineNumbers w:val="0"/>
      </w:pPr>
      <w:r>
        <w:rPr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находящегося в собственности городских округов,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размере 82 202,8 тыс. руб., что в 1,5 раза превышает план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(56 661,2 тыс. руб.) и составляет 97,0 % от уточненного плана года (84 753,8 тыс. руб.)</w:t>
      </w:r>
      <w:r>
        <w:rPr>
          <w:color w:val="000000" w:themeColor="text1"/>
          <w:sz w:val="28"/>
          <w:szCs w:val="28"/>
          <w:highlight w:val="white"/>
        </w:rPr>
        <w:t xml:space="preserve">. Относительно аналогичного периода прошлого года поступления                            по данному виду дохода составили 27,9 %.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результате реализации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муниципального имущества на торгах в порядке, </w:t>
      </w:r>
      <w:r>
        <w:rPr>
          <w:color w:val="000000" w:themeColor="text1"/>
          <w:sz w:val="28"/>
          <w:szCs w:val="28"/>
          <w:highlight w:val="white"/>
        </w:rPr>
        <w:t xml:space="preserve">установленном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Федеральным законом от 21.12.2001 № 178-ФЗ «О приватизации государственного и муниципального имущества», </w:t>
      </w:r>
      <w:r>
        <w:rPr>
          <w:color w:val="000000" w:themeColor="text1"/>
          <w:sz w:val="28"/>
          <w:szCs w:val="28"/>
          <w:highlight w:val="white"/>
        </w:rPr>
        <w:t xml:space="preserve">поступили доходы в сумме </w:t>
      </w:r>
      <w:r>
        <w:rPr>
          <w:color w:val="000000" w:themeColor="text1"/>
          <w:sz w:val="28"/>
          <w:szCs w:val="28"/>
          <w:highlight w:val="white"/>
        </w:rPr>
        <w:br/>
        <w:t xml:space="preserve">59 048,6 тыс. руб., что в 1,8 раза превышает план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(32</w:t>
      </w:r>
      <w:r>
        <w:rPr>
          <w:color w:val="000000" w:themeColor="text1"/>
          <w:sz w:val="28"/>
          <w:szCs w:val="28"/>
          <w:highlight w:val="white"/>
        </w:rPr>
        <w:t xml:space="preserve"> 258,8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тыс. руб.) и в 1,3 раза уточненный план года (45 675,1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Перевыполнение плана обусловлено</w:t>
      </w:r>
      <w:r>
        <w:rPr>
          <w:color w:val="000000" w:themeColor="text1"/>
          <w:sz w:val="28"/>
          <w:szCs w:val="28"/>
          <w:highlight w:val="none"/>
        </w:rPr>
        <w:t xml:space="preserve"> реализацией долей в праве на земельные участки по цене выше запланированной.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В результате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доходы поступили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23 154,2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color w:val="000000" w:themeColor="text1"/>
          <w:sz w:val="28"/>
          <w:szCs w:val="28"/>
          <w:highlight w:val="white"/>
        </w:rPr>
        <w:t xml:space="preserve">что составляет 96,3 % от плана отчетного периода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(24 039,4                       тыс. р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уб.) и 60,0 % от плана года (38 597,7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color w:val="000000" w:themeColor="text1"/>
          <w:sz w:val="28"/>
          <w:szCs w:val="28"/>
          <w:highlight w:val="white"/>
        </w:rPr>
        <w:t xml:space="preserve">рочие неналоговые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157 171,2</w:t>
      </w:r>
      <w:r>
        <w:rPr>
          <w:color w:val="000000" w:themeColor="text1"/>
          <w:sz w:val="28"/>
          <w:szCs w:val="28"/>
          <w:highlight w:val="none"/>
        </w:rPr>
        <w:t xml:space="preserve"> тыс. руб., что в 1,6 раза превышает план отчетного периода 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(96 115,0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тыс. руб.) и составляет 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101,7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% 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                        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к плану года (154 615,6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yellow"/>
        </w:rPr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i/>
          <w:color w:val="000000" w:themeColor="text1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/>
          <w:color w:val="000000" w:themeColor="text1"/>
          <w:sz w:val="28"/>
          <w:szCs w:val="28"/>
          <w:highlight w:val="white"/>
        </w:rPr>
        <w:t xml:space="preserve">ю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поступила в сумме 72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836,9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4,7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(15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500,0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в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1,4 раза план года (50 550,3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поступлениями от крупных предприятий                   в сфере строительства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;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м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и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 раз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а также находящимися в муниципальной собственности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46 556,8 тыс. руб.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что на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7,2 %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превышает план отчетного периода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(43 428,0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 составляет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68,0 %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от годового планового задания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(68 465,1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"/>
        </w:numPr>
        <w:jc w:val="center"/>
        <w:spacing w:line="240" w:lineRule="atLeast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ind w:firstLine="360"/>
        <w:jc w:val="center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приложение 2 к настоящей записке)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spacing w:line="240" w:lineRule="auto"/>
        <w:tabs>
          <w:tab w:val="left" w:pos="7938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</w:t>
      </w:r>
      <w:r>
        <w:rPr>
          <w:color w:val="000000" w:themeColor="text1"/>
          <w:sz w:val="28"/>
          <w:szCs w:val="28"/>
          <w:highlight w:val="white"/>
        </w:rPr>
        <w:t xml:space="preserve">Кассовые расходы бюджета (без учёта зарезервированных </w:t>
      </w:r>
      <w:r>
        <w:rPr>
          <w:color w:val="000000" w:themeColor="text1"/>
          <w:sz w:val="28"/>
          <w:szCs w:val="28"/>
          <w:highlight w:val="white"/>
        </w:rPr>
        <w:t xml:space="preserve">средств:</w:t>
      </w:r>
      <w:r>
        <w:rPr>
          <w:color w:val="000000" w:themeColor="text1"/>
          <w:sz w:val="28"/>
          <w:szCs w:val="28"/>
          <w:highlight w:val="white"/>
        </w:rPr>
        <w:t xml:space="preserve"> на исполнение судебных исков, резервного фонда администрации города) на 1 </w:t>
      </w:r>
      <w:r>
        <w:rPr>
          <w:color w:val="000000" w:themeColor="text1"/>
          <w:sz w:val="28"/>
          <w:szCs w:val="28"/>
          <w:highlight w:val="white"/>
        </w:rPr>
        <w:t xml:space="preserve">сентября 2025 года составил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36 188 373,3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</w:t>
      </w:r>
      <w:r>
        <w:rPr>
          <w:color w:val="000000" w:themeColor="text1"/>
          <w:sz w:val="28"/>
          <w:szCs w:val="28"/>
          <w:highlight w:val="white"/>
        </w:rPr>
        <w:t xml:space="preserve">б., </w:t>
      </w:r>
      <w:r>
        <w:rPr>
          <w:sz w:val="28"/>
          <w:szCs w:val="28"/>
          <w:highlight w:val="white"/>
        </w:rPr>
        <w:t xml:space="preserve">или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95,4</w:t>
      </w:r>
      <w:r>
        <w:rPr>
          <w:b/>
          <w:color w:val="auto"/>
          <w:sz w:val="28"/>
          <w:szCs w:val="28"/>
          <w:highlight w:val="white"/>
        </w:rPr>
        <w:t xml:space="preserve"> % </w:t>
      </w:r>
      <w:r>
        <w:rPr>
          <w:color w:val="auto"/>
          <w:sz w:val="28"/>
          <w:szCs w:val="28"/>
          <w:highlight w:val="white"/>
        </w:rPr>
        <w:t xml:space="preserve">от кассо</w:t>
      </w:r>
      <w:r>
        <w:rPr>
          <w:sz w:val="28"/>
          <w:szCs w:val="28"/>
          <w:highlight w:val="white"/>
        </w:rPr>
        <w:t xml:space="preserve">вого</w:t>
      </w:r>
      <w:r>
        <w:rPr>
          <w:sz w:val="28"/>
          <w:szCs w:val="28"/>
          <w:highlight w:val="white"/>
        </w:rPr>
        <w:t xml:space="preserve"> плана отчетного периода                      (</w:t>
      </w:r>
      <w:r>
        <w:rPr>
          <w:sz w:val="28"/>
          <w:szCs w:val="28"/>
          <w:highlight w:val="white"/>
        </w:rPr>
        <w:t xml:space="preserve">37 914 242,2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</w:t>
      </w:r>
      <w:r>
        <w:rPr>
          <w:sz w:val="28"/>
          <w:szCs w:val="28"/>
          <w:highlight w:val="white"/>
        </w:rPr>
        <w:t xml:space="preserve">.) 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52,5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го</w:t>
      </w:r>
      <w:r>
        <w:rPr>
          <w:sz w:val="28"/>
          <w:szCs w:val="28"/>
          <w:highlight w:val="white"/>
        </w:rPr>
        <w:t xml:space="preserve">довы</w:t>
      </w:r>
      <w:r>
        <w:rPr>
          <w:sz w:val="28"/>
          <w:szCs w:val="28"/>
          <w:highlight w:val="white"/>
        </w:rPr>
        <w:t xml:space="preserve">х ассигнований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68 951 00</w:t>
      </w:r>
      <w:r>
        <w:rPr>
          <w:color w:val="auto"/>
          <w:sz w:val="28"/>
          <w:szCs w:val="28"/>
          <w:highlight w:val="white"/>
        </w:rPr>
        <w:t xml:space="preserve">5,2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.). Исполнение по расходам за январь-</w:t>
      </w:r>
      <w:r>
        <w:rPr>
          <w:color w:val="000000" w:themeColor="text1"/>
          <w:sz w:val="28"/>
          <w:szCs w:val="28"/>
          <w:highlight w:val="white"/>
        </w:rPr>
        <w:t xml:space="preserve">август 2024 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32 347 780,0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sz w:val="28"/>
          <w:szCs w:val="28"/>
          <w:highlight w:val="white"/>
        </w:rPr>
        <w:t xml:space="preserve">., и</w:t>
      </w:r>
      <w:r>
        <w:rPr>
          <w:sz w:val="28"/>
          <w:szCs w:val="28"/>
          <w:highlight w:val="white"/>
        </w:rPr>
        <w:t xml:space="preserve">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95,7</w:t>
      </w:r>
      <w:r>
        <w:rPr>
          <w:b/>
          <w:color w:val="auto"/>
          <w:sz w:val="28"/>
          <w:szCs w:val="28"/>
          <w:highlight w:val="white"/>
        </w:rPr>
        <w:t xml:space="preserve"> % </w:t>
      </w:r>
      <w:r>
        <w:rPr>
          <w:color w:val="auto"/>
          <w:sz w:val="28"/>
          <w:szCs w:val="28"/>
          <w:highlight w:val="white"/>
        </w:rPr>
        <w:t xml:space="preserve">от</w:t>
      </w:r>
      <w:r>
        <w:rPr>
          <w:color w:val="auto"/>
          <w:sz w:val="28"/>
          <w:szCs w:val="28"/>
          <w:highlight w:val="white"/>
        </w:rPr>
        <w:t xml:space="preserve"> кассового </w:t>
      </w:r>
      <w:r>
        <w:rPr>
          <w:color w:val="auto"/>
          <w:sz w:val="28"/>
          <w:szCs w:val="28"/>
          <w:highlight w:val="white"/>
        </w:rPr>
        <w:t xml:space="preserve">плана отчетного периода 2024 </w:t>
      </w:r>
      <w:r>
        <w:rPr>
          <w:color w:val="auto"/>
          <w:sz w:val="28"/>
          <w:szCs w:val="28"/>
          <w:highlight w:val="white"/>
        </w:rPr>
        <w:t xml:space="preserve">года 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56,5</w:t>
      </w:r>
      <w:r>
        <w:rPr>
          <w:b/>
          <w:color w:val="auto"/>
          <w:sz w:val="28"/>
          <w:szCs w:val="28"/>
          <w:highlight w:val="white"/>
        </w:rPr>
        <w:t xml:space="preserve"> 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 </w:t>
      </w:r>
      <w:r>
        <w:rPr>
          <w:color w:val="000000" w:themeColor="text1"/>
          <w:sz w:val="28"/>
          <w:szCs w:val="28"/>
          <w:highlight w:val="white"/>
        </w:rPr>
        <w:t xml:space="preserve">ассигнований.     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spacing w:line="240" w:lineRule="auto"/>
        <w:tabs>
          <w:tab w:val="left" w:pos="7938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Рас</w:t>
      </w:r>
      <w:r>
        <w:rPr>
          <w:color w:val="000000" w:themeColor="text1"/>
          <w:sz w:val="28"/>
          <w:szCs w:val="28"/>
          <w:highlight w:val="white"/>
        </w:rPr>
        <w:t xml:space="preserve">ходная часть бюджета за январь-</w:t>
      </w:r>
      <w:r>
        <w:rPr>
          <w:color w:val="000000" w:themeColor="text1"/>
          <w:sz w:val="28"/>
          <w:szCs w:val="28"/>
          <w:highlight w:val="white"/>
        </w:rPr>
        <w:t xml:space="preserve">август </w:t>
      </w:r>
      <w:r>
        <w:rPr>
          <w:color w:val="000000" w:themeColor="text1"/>
          <w:sz w:val="28"/>
          <w:szCs w:val="28"/>
          <w:highlight w:val="white"/>
        </w:rPr>
        <w:t xml:space="preserve">2025 года в разрезе источников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финансирования исполнена следующим образом.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rPr>
          <w:color w:val="000000" w:themeColor="text1"/>
          <w:sz w:val="20"/>
          <w:szCs w:val="16"/>
          <w:highlight w:val="white"/>
        </w:rPr>
      </w:pPr>
      <w:r>
        <w:rPr>
          <w:color w:val="000000" w:themeColor="text1"/>
          <w:sz w:val="20"/>
          <w:szCs w:val="16"/>
          <w:highlight w:val="white"/>
        </w:rPr>
      </w:r>
      <w:r>
        <w:rPr>
          <w:color w:val="000000" w:themeColor="text1"/>
          <w:sz w:val="20"/>
          <w:szCs w:val="16"/>
          <w:highlight w:val="white"/>
        </w:rPr>
      </w:r>
      <w:r>
        <w:rPr>
          <w:color w:val="000000" w:themeColor="text1"/>
          <w:sz w:val="20"/>
          <w:szCs w:val="16"/>
          <w:highlight w:val="white"/>
        </w:rPr>
      </w:r>
    </w:p>
    <w:p>
      <w:pPr>
        <w:ind w:firstLine="709"/>
        <w:spacing w:line="240" w:lineRule="atLeast"/>
        <w:rPr>
          <w:b/>
          <w:bCs/>
          <w:color w:val="auto"/>
          <w:sz w:val="20"/>
          <w:szCs w:val="20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2.1. за счет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учёта зарезервированных средств) </w:t>
      </w:r>
      <w:r>
        <w:rPr>
          <w:color w:val="000000" w:themeColor="text1"/>
          <w:sz w:val="28"/>
          <w:szCs w:val="28"/>
          <w:highlight w:val="white"/>
        </w:rPr>
        <w:t xml:space="preserve">- кассовое исполнение </w:t>
      </w:r>
      <w:r>
        <w:rPr>
          <w:sz w:val="28"/>
          <w:szCs w:val="28"/>
          <w:highlight w:val="white"/>
        </w:rPr>
        <w:t xml:space="preserve">составл</w:t>
      </w:r>
      <w:r>
        <w:rPr>
          <w:color w:val="auto"/>
          <w:sz w:val="28"/>
          <w:szCs w:val="28"/>
          <w:highlight w:val="white"/>
        </w:rPr>
        <w:t xml:space="preserve">я</w:t>
      </w:r>
      <w:r>
        <w:rPr>
          <w:color w:val="auto"/>
          <w:sz w:val="28"/>
          <w:szCs w:val="28"/>
          <w:highlight w:val="white"/>
        </w:rPr>
        <w:t xml:space="preserve">ет</w:t>
      </w:r>
      <w:r>
        <w:rPr>
          <w:color w:val="auto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20 960 352,0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color w:val="auto"/>
          <w:sz w:val="28"/>
          <w:szCs w:val="28"/>
        </w:rPr>
        <w:t xml:space="preserve">93,6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–           </w:t>
      </w:r>
      <w:r>
        <w:rPr>
          <w:color w:val="auto"/>
          <w:sz w:val="28"/>
          <w:szCs w:val="28"/>
          <w:highlight w:val="white"/>
        </w:rPr>
        <w:t xml:space="preserve">22 401 900,9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</w:rPr>
        <w:t xml:space="preserve">50,3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годовых</w:t>
      </w:r>
      <w:r>
        <w:rPr>
          <w:color w:val="auto"/>
          <w:sz w:val="28"/>
          <w:szCs w:val="28"/>
          <w:highlight w:val="white"/>
        </w:rPr>
        <w:t xml:space="preserve"> а</w:t>
      </w:r>
      <w:r>
        <w:rPr>
          <w:color w:val="auto"/>
          <w:sz w:val="28"/>
          <w:szCs w:val="28"/>
          <w:highlight w:val="white"/>
        </w:rPr>
        <w:t xml:space="preserve">сси</w:t>
      </w:r>
      <w:r>
        <w:rPr>
          <w:color w:val="000000" w:themeColor="text1"/>
          <w:sz w:val="28"/>
          <w:szCs w:val="28"/>
          <w:highlight w:val="white"/>
        </w:rPr>
        <w:t xml:space="preserve">гнований. Исполнение расходов                      за январь-</w:t>
      </w:r>
      <w:r>
        <w:rPr>
          <w:color w:val="000000" w:themeColor="text1"/>
          <w:sz w:val="28"/>
          <w:szCs w:val="28"/>
          <w:highlight w:val="white"/>
        </w:rPr>
        <w:t xml:space="preserve">август 2024 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auto"/>
          <w:sz w:val="28"/>
          <w:szCs w:val="28"/>
          <w:highlight w:val="white"/>
        </w:rPr>
        <w:t xml:space="preserve">7 362 120,9</w:t>
      </w:r>
      <w:r>
        <w:rPr>
          <w:color w:val="auto"/>
          <w:sz w:val="28"/>
          <w:szCs w:val="28"/>
          <w:highlight w:val="white"/>
        </w:rPr>
        <w:t xml:space="preserve"> тыс. руб.,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color w:val="auto"/>
          <w:sz w:val="28"/>
          <w:szCs w:val="28"/>
        </w:rPr>
        <w:t xml:space="preserve">94,2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к</w:t>
      </w:r>
      <w:r>
        <w:rPr>
          <w:color w:val="auto"/>
          <w:sz w:val="28"/>
          <w:szCs w:val="28"/>
          <w:highlight w:val="white"/>
        </w:rPr>
        <w:t xml:space="preserve">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2024 </w:t>
      </w:r>
      <w:r>
        <w:rPr>
          <w:color w:val="auto"/>
          <w:sz w:val="28"/>
          <w:szCs w:val="28"/>
          <w:highlight w:val="white"/>
        </w:rPr>
        <w:t xml:space="preserve">года и </w:t>
      </w:r>
      <w:r>
        <w:rPr>
          <w:b/>
          <w:color w:val="auto"/>
          <w:sz w:val="28"/>
          <w:szCs w:val="28"/>
        </w:rPr>
        <w:t xml:space="preserve">53,7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годовых ассигнований</w:t>
      </w:r>
      <w:r>
        <w:rPr>
          <w:color w:val="auto"/>
          <w:sz w:val="28"/>
          <w:szCs w:val="28"/>
          <w:highlight w:val="white"/>
        </w:rPr>
        <w:t xml:space="preserve">.      </w:t>
      </w:r>
      <w:r>
        <w:rPr>
          <w:b/>
          <w:bCs/>
          <w:color w:val="auto"/>
          <w:sz w:val="20"/>
          <w:szCs w:val="20"/>
          <w:highlight w:val="white"/>
        </w:rPr>
        <w:t xml:space="preserve">       </w:t>
      </w:r>
      <w:r>
        <w:rPr>
          <w:b/>
          <w:bCs/>
          <w:color w:val="auto"/>
          <w:sz w:val="20"/>
          <w:szCs w:val="20"/>
          <w:highlight w:val="white"/>
        </w:rPr>
      </w:r>
      <w:r>
        <w:rPr>
          <w:b/>
          <w:bCs/>
          <w:color w:val="auto"/>
          <w:sz w:val="20"/>
          <w:szCs w:val="20"/>
          <w:highlight w:val="white"/>
        </w:rPr>
      </w:r>
    </w:p>
    <w:p>
      <w:pPr>
        <w:ind w:firstLine="709"/>
        <w:spacing w:line="240" w:lineRule="atLeast"/>
        <w:tabs>
          <w:tab w:val="right" w:pos="10488" w:leader="none"/>
        </w:tabs>
        <w:rPr>
          <w:b/>
          <w:bCs/>
          <w:color w:val="000000" w:themeColor="text1"/>
          <w:sz w:val="20"/>
          <w:szCs w:val="20"/>
          <w:highlight w:val="white"/>
        </w:rPr>
      </w:pPr>
      <w:r>
        <w:rPr>
          <w:b/>
          <w:bCs/>
          <w:color w:val="000000" w:themeColor="text1"/>
          <w:sz w:val="20"/>
          <w:szCs w:val="20"/>
          <w:highlight w:val="white"/>
        </w:rPr>
        <w:t xml:space="preserve">   </w:t>
      </w:r>
      <w:r>
        <w:rPr>
          <w:b/>
          <w:bCs/>
          <w:color w:val="000000" w:themeColor="text1"/>
          <w:sz w:val="16"/>
          <w:szCs w:val="20"/>
          <w:highlight w:val="white"/>
        </w:rPr>
        <w:t xml:space="preserve">   </w:t>
      </w:r>
      <w:r>
        <w:rPr>
          <w:b/>
          <w:bCs/>
          <w:color w:val="000000" w:themeColor="text1"/>
          <w:sz w:val="20"/>
          <w:szCs w:val="20"/>
          <w:highlight w:val="white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000000" w:themeColor="text1"/>
          <w:sz w:val="20"/>
          <w:szCs w:val="20"/>
          <w:highlight w:val="white"/>
        </w:rPr>
        <w:tab/>
      </w:r>
      <w:r>
        <w:rPr>
          <w:b/>
          <w:bCs/>
          <w:color w:val="000000" w:themeColor="text1"/>
          <w:sz w:val="20"/>
          <w:szCs w:val="20"/>
          <w:highlight w:val="white"/>
        </w:rPr>
      </w:r>
      <w:r>
        <w:rPr>
          <w:b/>
          <w:bCs/>
          <w:color w:val="000000" w:themeColor="text1"/>
          <w:sz w:val="20"/>
          <w:szCs w:val="20"/>
          <w:highlight w:val="white"/>
        </w:rPr>
      </w:r>
    </w:p>
    <w:p>
      <w:pPr>
        <w:ind w:firstLine="709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государственных полномочий, -</w:t>
      </w:r>
      <w:r>
        <w:rPr>
          <w:color w:val="000000" w:themeColor="text1"/>
          <w:sz w:val="28"/>
          <w:szCs w:val="28"/>
          <w:highlight w:val="white"/>
        </w:rPr>
        <w:t xml:space="preserve"> кассовое исполнение состав</w:t>
      </w:r>
      <w:r>
        <w:rPr>
          <w:color w:val="auto"/>
          <w:sz w:val="28"/>
          <w:szCs w:val="28"/>
          <w:highlight w:val="white"/>
        </w:rPr>
        <w:t xml:space="preserve">ля</w:t>
      </w:r>
      <w:r>
        <w:rPr>
          <w:color w:val="auto"/>
          <w:sz w:val="28"/>
          <w:szCs w:val="28"/>
          <w:highlight w:val="white"/>
        </w:rPr>
        <w:t xml:space="preserve">ет</w:t>
      </w:r>
      <w:r>
        <w:rPr>
          <w:color w:val="auto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11 129 178,5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</w:t>
      </w:r>
      <w:r>
        <w:rPr>
          <w:color w:val="auto"/>
          <w:sz w:val="28"/>
          <w:szCs w:val="28"/>
          <w:highlight w:val="white"/>
        </w:rPr>
        <w:t xml:space="preserve">. руб., </w:t>
      </w:r>
      <w:r>
        <w:rPr>
          <w:color w:val="auto"/>
          <w:sz w:val="28"/>
          <w:szCs w:val="28"/>
          <w:highlight w:val="white"/>
        </w:rPr>
        <w:t xml:space="preserve">или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99,2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                </w:t>
      </w:r>
      <w:r>
        <w:rPr>
          <w:b/>
          <w:sz w:val="28"/>
          <w:szCs w:val="28"/>
          <w:highlight w:val="white"/>
        </w:rPr>
        <w:t xml:space="preserve">     </w:t>
      </w:r>
      <w:r>
        <w:rPr>
          <w:sz w:val="28"/>
          <w:szCs w:val="28"/>
          <w:highlight w:val="white"/>
        </w:rPr>
        <w:t xml:space="preserve">от кассового плана отчетного перио</w:t>
      </w:r>
      <w:r>
        <w:rPr>
          <w:color w:val="auto"/>
          <w:sz w:val="28"/>
          <w:szCs w:val="28"/>
          <w:highlight w:val="white"/>
        </w:rPr>
        <w:t xml:space="preserve">да –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11 220 565,4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</w:t>
      </w:r>
      <w:r>
        <w:rPr>
          <w:color w:val="auto"/>
          <w:sz w:val="28"/>
          <w:szCs w:val="28"/>
          <w:highlight w:val="white"/>
        </w:rPr>
        <w:t xml:space="preserve">. и </w:t>
      </w:r>
      <w:r>
        <w:rPr>
          <w:b/>
          <w:color w:val="auto"/>
          <w:sz w:val="28"/>
          <w:szCs w:val="28"/>
          <w:highlight w:val="none"/>
        </w:rPr>
        <w:t xml:space="preserve">64,2</w:t>
      </w:r>
      <w:r>
        <w:rPr>
          <w:b/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годовы</w:t>
      </w:r>
      <w:r>
        <w:rPr>
          <w:color w:val="000000" w:themeColor="text1"/>
          <w:sz w:val="28"/>
          <w:szCs w:val="28"/>
          <w:highlight w:val="white"/>
        </w:rPr>
        <w:t xml:space="preserve">х ассигнований</w:t>
      </w:r>
      <w:r>
        <w:rPr>
          <w:color w:val="000000" w:themeColor="text1"/>
          <w:sz w:val="28"/>
          <w:szCs w:val="28"/>
          <w:highlight w:val="white"/>
        </w:rPr>
        <w:t xml:space="preserve">. Исполнение расходов за январь-</w:t>
      </w:r>
      <w:r>
        <w:rPr>
          <w:color w:val="000000" w:themeColor="text1"/>
          <w:sz w:val="28"/>
          <w:szCs w:val="28"/>
          <w:highlight w:val="white"/>
        </w:rPr>
        <w:t xml:space="preserve">август 2024 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9 568 650,9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 руб., </w:t>
      </w:r>
      <w:r>
        <w:rPr>
          <w:color w:val="auto"/>
          <w:sz w:val="28"/>
          <w:szCs w:val="28"/>
          <w:highlight w:val="white"/>
        </w:rPr>
        <w:t xml:space="preserve">ил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</w:rPr>
        <w:t xml:space="preserve">98,3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кассового плана</w:t>
      </w:r>
      <w:r>
        <w:rPr>
          <w:color w:val="auto"/>
          <w:sz w:val="28"/>
          <w:szCs w:val="28"/>
          <w:highlight w:val="white"/>
        </w:rPr>
        <w:t xml:space="preserve"> отчетного периода 2024 </w:t>
      </w:r>
      <w:r>
        <w:rPr>
          <w:color w:val="auto"/>
          <w:sz w:val="28"/>
          <w:szCs w:val="28"/>
          <w:highlight w:val="white"/>
        </w:rPr>
        <w:t xml:space="preserve">года и </w:t>
      </w:r>
      <w:r>
        <w:rPr>
          <w:b/>
          <w:bCs/>
          <w:color w:val="auto"/>
          <w:sz w:val="28"/>
          <w:szCs w:val="28"/>
        </w:rPr>
        <w:t xml:space="preserve">65,2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            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 ассигнований.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tLeast"/>
        <w:rPr>
          <w:color w:val="auto"/>
          <w:sz w:val="16"/>
          <w:szCs w:val="16"/>
          <w:highlight w:val="white"/>
        </w:rPr>
      </w:pP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</w:p>
    <w:p>
      <w:pPr>
        <w:ind w:firstLine="720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color w:val="000000" w:themeColor="text1"/>
          <w:sz w:val="28"/>
          <w:highlight w:val="white"/>
        </w:rPr>
        <w:t xml:space="preserve">2.3. за счет средств, переданных из краевого бюджета на выполнение по</w:t>
      </w:r>
      <w:r>
        <w:rPr>
          <w:b/>
          <w:color w:val="000000" w:themeColor="text1"/>
          <w:sz w:val="28"/>
          <w:highlight w:val="white"/>
        </w:rPr>
        <w:t xml:space="preserve">лномочий городского округа, - </w:t>
      </w:r>
      <w:r>
        <w:rPr>
          <w:color w:val="000000" w:themeColor="text1"/>
          <w:sz w:val="28"/>
          <w:szCs w:val="28"/>
          <w:highlight w:val="white"/>
        </w:rPr>
        <w:t xml:space="preserve">кассовое исполнение </w:t>
      </w:r>
      <w:r>
        <w:rPr>
          <w:sz w:val="28"/>
          <w:szCs w:val="28"/>
          <w:highlight w:val="white"/>
        </w:rPr>
        <w:t xml:space="preserve">сост</w:t>
      </w:r>
      <w:r>
        <w:rPr>
          <w:sz w:val="28"/>
          <w:szCs w:val="28"/>
          <w:highlight w:val="white"/>
        </w:rPr>
        <w:t xml:space="preserve">авляет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4 098 842,8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  </w:t>
      </w:r>
      <w:r>
        <w:rPr>
          <w:b/>
          <w:bCs/>
          <w:color w:val="auto"/>
          <w:sz w:val="28"/>
          <w:szCs w:val="28"/>
          <w:highlight w:val="white"/>
        </w:rPr>
        <w:t xml:space="preserve">              </w:t>
      </w:r>
      <w:r>
        <w:rPr>
          <w:b/>
          <w:bCs/>
          <w:sz w:val="28"/>
          <w:szCs w:val="28"/>
          <w:highlight w:val="white"/>
        </w:rPr>
        <w:t xml:space="preserve">      </w:t>
      </w:r>
      <w:r>
        <w:rPr>
          <w:sz w:val="28"/>
          <w:szCs w:val="28"/>
          <w:highlight w:val="white"/>
        </w:rPr>
        <w:t xml:space="preserve">тыс. руб., </w:t>
      </w:r>
      <w:r>
        <w:rPr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ли </w:t>
      </w:r>
      <w:r>
        <w:rPr>
          <w:b/>
          <w:color w:val="auto"/>
          <w:sz w:val="28"/>
          <w:szCs w:val="28"/>
        </w:rPr>
        <w:t xml:space="preserve">95,5</w:t>
      </w:r>
      <w:r>
        <w:rPr>
          <w:b/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 от</w:t>
      </w:r>
      <w:r>
        <w:rPr>
          <w:color w:val="auto"/>
          <w:sz w:val="28"/>
          <w:szCs w:val="28"/>
          <w:highlight w:val="white"/>
        </w:rPr>
        <w:t xml:space="preserve"> кассового плана отчетного периода – </w:t>
      </w:r>
      <w:r>
        <w:rPr>
          <w:color w:val="auto"/>
          <w:sz w:val="28"/>
          <w:szCs w:val="28"/>
          <w:highlight w:val="white"/>
        </w:rPr>
        <w:t xml:space="preserve">4 291 775,9</w:t>
      </w:r>
      <w:r>
        <w:rPr>
          <w:color w:val="auto"/>
          <w:sz w:val="28"/>
          <w:szCs w:val="28"/>
          <w:highlight w:val="white"/>
        </w:rPr>
        <w:t xml:space="preserve"> тыс. руб.                      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</w:rPr>
        <w:t xml:space="preserve">41,3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годовых</w:t>
      </w:r>
      <w:r>
        <w:rPr>
          <w:sz w:val="28"/>
          <w:szCs w:val="28"/>
          <w:highlight w:val="white"/>
        </w:rPr>
        <w:t xml:space="preserve"> ассигнований. Исполнение расходов за</w:t>
      </w:r>
      <w:r>
        <w:rPr>
          <w:sz w:val="28"/>
          <w:szCs w:val="28"/>
          <w:highlight w:val="white"/>
        </w:rPr>
        <w:t xml:space="preserve"> январь-</w:t>
      </w:r>
      <w:r>
        <w:rPr>
          <w:color w:val="000000" w:themeColor="text1"/>
          <w:sz w:val="28"/>
          <w:szCs w:val="28"/>
          <w:highlight w:val="white"/>
        </w:rPr>
        <w:t xml:space="preserve">август 2024 года составля</w:t>
      </w:r>
      <w:r>
        <w:rPr>
          <w:sz w:val="28"/>
          <w:szCs w:val="28"/>
          <w:highlight w:val="white"/>
        </w:rPr>
        <w:t xml:space="preserve">ло </w:t>
      </w:r>
      <w:r>
        <w:rPr>
          <w:sz w:val="28"/>
          <w:szCs w:val="28"/>
          <w:highlight w:val="white"/>
        </w:rPr>
        <w:t xml:space="preserve">5 417 008,2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bCs/>
          <w:color w:val="auto"/>
          <w:sz w:val="28"/>
          <w:szCs w:val="28"/>
        </w:rPr>
        <w:t xml:space="preserve">96,4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2024 года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color w:val="auto"/>
          <w:sz w:val="28"/>
          <w:szCs w:val="28"/>
        </w:rPr>
        <w:t xml:space="preserve">53,1</w:t>
      </w:r>
      <w:r>
        <w:rPr>
          <w:b/>
          <w:color w:val="auto"/>
          <w:sz w:val="28"/>
          <w:szCs w:val="28"/>
          <w:highlight w:val="white"/>
        </w:rPr>
        <w:t xml:space="preserve"> % </w:t>
      </w:r>
      <w:r>
        <w:rPr>
          <w:color w:val="auto"/>
          <w:sz w:val="28"/>
          <w:szCs w:val="28"/>
          <w:highlight w:val="white"/>
        </w:rPr>
        <w:t xml:space="preserve">от годовых ассигнований.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Расходная часть бюджета за январь-</w:t>
      </w:r>
      <w:r>
        <w:rPr>
          <w:color w:val="000000" w:themeColor="text1"/>
          <w:sz w:val="28"/>
          <w:szCs w:val="28"/>
          <w:highlight w:val="white"/>
        </w:rPr>
        <w:t xml:space="preserve">август 2025 года по источникам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финансирования в разрезе главных распорядителей бюджетных средств исполнена следующим образом.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2.1. Исполнение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расходов местного бюджета: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b/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</w:p>
    <w:p>
      <w:pPr>
        <w:ind w:firstLine="709"/>
        <w:spacing w:line="240" w:lineRule="auto"/>
        <w:tabs>
          <w:tab w:val="num" w:pos="72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выше 95,0 % </w:t>
      </w:r>
      <w:r>
        <w:rPr>
          <w:color w:val="000000" w:themeColor="text1"/>
          <w:sz w:val="28"/>
          <w:szCs w:val="28"/>
          <w:highlight w:val="white"/>
        </w:rPr>
        <w:t xml:space="preserve">обеспечено следующими главными распорядителями бюджетных средств: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34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 </w:t>
      </w:r>
      <w:r>
        <w:rPr>
          <w:color w:val="auto"/>
          <w:sz w:val="28"/>
          <w:szCs w:val="28"/>
        </w:rPr>
        <w:t xml:space="preserve">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color w:val="auto"/>
          <w:sz w:val="28"/>
          <w:szCs w:val="28"/>
        </w:rPr>
        <w:t xml:space="preserve">99,9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администраци</w:t>
      </w:r>
      <w:r>
        <w:rPr>
          <w:color w:val="auto"/>
          <w:sz w:val="28"/>
          <w:highlight w:val="white"/>
        </w:rPr>
        <w:t xml:space="preserve">ей</w:t>
      </w:r>
      <w:r>
        <w:rPr>
          <w:color w:val="auto"/>
          <w:sz w:val="28"/>
          <w:highlight w:val="white"/>
        </w:rPr>
        <w:t xml:space="preserve"> Свердловского района – на уровне </w:t>
      </w:r>
      <w:r>
        <w:rPr>
          <w:color w:val="auto"/>
          <w:sz w:val="28"/>
          <w:highlight w:val="white"/>
        </w:rPr>
        <w:t xml:space="preserve">99,6</w:t>
      </w:r>
      <w:r>
        <w:rPr>
          <w:color w:val="auto"/>
          <w:sz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финансов – на уровне </w:t>
      </w:r>
      <w:r>
        <w:rPr>
          <w:color w:val="auto"/>
          <w:sz w:val="28"/>
          <w:szCs w:val="28"/>
          <w:highlight w:val="white"/>
        </w:rPr>
        <w:t xml:space="preserve">99,27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администрацией Индустриального района – на уровне </w:t>
      </w:r>
      <w:r>
        <w:rPr>
          <w:color w:val="auto"/>
          <w:sz w:val="28"/>
          <w:szCs w:val="28"/>
          <w:highlight w:val="white"/>
        </w:rPr>
        <w:t xml:space="preserve">99,26</w:t>
      </w:r>
      <w:r>
        <w:rPr>
          <w:color w:val="auto"/>
          <w:sz w:val="28"/>
          <w:szCs w:val="28"/>
          <w:highlight w:val="white"/>
        </w:rPr>
        <w:t xml:space="preserve"> %;</w:t>
      </w:r>
      <w:bookmarkStart w:id="1" w:name="_GoBack"/>
      <w:r>
        <w:rPr>
          <w:color w:val="auto"/>
        </w:rPr>
      </w:r>
      <w:bookmarkEnd w:id="1"/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администрацией Орджоникидзевского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99,1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образования – на уровне </w:t>
      </w:r>
      <w:r>
        <w:rPr>
          <w:color w:val="auto"/>
          <w:sz w:val="28"/>
          <w:szCs w:val="28"/>
          <w:highlight w:val="white"/>
        </w:rPr>
        <w:t xml:space="preserve">98,8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градостроительства и архитектуры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98,51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color w:val="auto"/>
          <w:sz w:val="28"/>
          <w:szCs w:val="28"/>
          <w:highlight w:val="white"/>
        </w:rPr>
        <w:t xml:space="preserve">98,48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jc w:val="left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социальной политики – на уровне </w:t>
      </w:r>
      <w:r>
        <w:rPr>
          <w:color w:val="auto"/>
          <w:sz w:val="28"/>
          <w:szCs w:val="28"/>
          <w:highlight w:val="white"/>
        </w:rPr>
        <w:t xml:space="preserve">98,4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Дзержинского района – на уровне </w:t>
      </w:r>
      <w:r>
        <w:rPr>
          <w:color w:val="auto"/>
          <w:sz w:val="28"/>
          <w:szCs w:val="28"/>
          <w:highlight w:val="white"/>
        </w:rPr>
        <w:t xml:space="preserve">98,3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города – на уровне </w:t>
      </w:r>
      <w:r>
        <w:rPr>
          <w:color w:val="auto"/>
          <w:sz w:val="28"/>
          <w:szCs w:val="28"/>
          <w:highlight w:val="white"/>
        </w:rPr>
        <w:t xml:space="preserve">97,7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ом</w:t>
      </w:r>
      <w:r>
        <w:rPr>
          <w:color w:val="auto"/>
          <w:sz w:val="28"/>
          <w:szCs w:val="28"/>
          <w:highlight w:val="white"/>
        </w:rPr>
        <w:t xml:space="preserve"> дорог и благоустройства – на уровне </w:t>
      </w:r>
      <w:r>
        <w:rPr>
          <w:color w:val="auto"/>
          <w:sz w:val="28"/>
          <w:szCs w:val="28"/>
          <w:highlight w:val="white"/>
        </w:rPr>
        <w:t xml:space="preserve">97,6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Мотовилихинского района – на уровне </w:t>
      </w:r>
      <w:r>
        <w:rPr>
          <w:color w:val="auto"/>
          <w:sz w:val="28"/>
          <w:szCs w:val="28"/>
          <w:highlight w:val="white"/>
        </w:rPr>
        <w:t xml:space="preserve">97,5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управлением </w:t>
      </w:r>
      <w:r>
        <w:rPr>
          <w:color w:val="auto"/>
          <w:sz w:val="28"/>
          <w:szCs w:val="28"/>
          <w:highlight w:val="white"/>
        </w:rPr>
        <w:t xml:space="preserve">жилищных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97,3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b/>
          <w:bCs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контрольн</w:t>
      </w:r>
      <w:r>
        <w:rPr>
          <w:color w:val="auto"/>
          <w:sz w:val="28"/>
          <w:szCs w:val="28"/>
        </w:rPr>
        <w:t xml:space="preserve">ым</w:t>
      </w:r>
      <w:r>
        <w:rPr>
          <w:color w:val="auto"/>
          <w:sz w:val="28"/>
          <w:szCs w:val="28"/>
        </w:rPr>
        <w:t xml:space="preserve"> департамент</w:t>
      </w:r>
      <w:r>
        <w:rPr>
          <w:color w:val="auto"/>
          <w:sz w:val="28"/>
          <w:szCs w:val="28"/>
        </w:rPr>
        <w:t xml:space="preserve">ом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</w:rPr>
        <w:t xml:space="preserve">95,6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ind w:left="360" w:firstLine="0"/>
        <w:spacing w:line="240" w:lineRule="auto"/>
        <w:rPr>
          <w:b/>
          <w:bCs/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16"/>
          <w:szCs w:val="16"/>
          <w:highlight w:val="none"/>
        </w:rPr>
      </w:r>
      <w:r>
        <w:rPr>
          <w:b/>
          <w:bCs/>
          <w:color w:val="000000" w:themeColor="text1"/>
          <w:sz w:val="16"/>
          <w:szCs w:val="16"/>
          <w:highlight w:val="white"/>
        </w:rPr>
      </w:r>
      <w:r>
        <w:rPr>
          <w:b/>
          <w:bCs/>
          <w:color w:val="000000" w:themeColor="text1"/>
          <w:sz w:val="16"/>
          <w:szCs w:val="16"/>
          <w:highlight w:val="white"/>
        </w:rPr>
      </w:r>
    </w:p>
    <w:p>
      <w:pPr>
        <w:ind w:left="0" w:firstLine="0"/>
        <w:spacing w:line="240" w:lineRule="auto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highlight w:val="none"/>
        </w:rPr>
        <w:t xml:space="preserve">       </w:t>
      </w:r>
      <w:r>
        <w:rPr>
          <w:b/>
          <w:color w:val="000000" w:themeColor="text1"/>
          <w:sz w:val="28"/>
          <w:highlight w:val="white"/>
        </w:rPr>
        <w:t xml:space="preserve">ниже уровня 95,0 %</w:t>
      </w:r>
      <w:r>
        <w:rPr>
          <w:color w:val="000000" w:themeColor="text1"/>
          <w:sz w:val="28"/>
          <w:highlight w:val="white"/>
        </w:rPr>
        <w:t xml:space="preserve"> сложилось исполнение </w:t>
      </w:r>
      <w:r>
        <w:rPr>
          <w:color w:val="000000" w:themeColor="text1"/>
          <w:sz w:val="28"/>
          <w:szCs w:val="28"/>
          <w:highlight w:val="white"/>
        </w:rPr>
        <w:t xml:space="preserve">у следующих главных распорядителей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бюджетных средств: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контрольно-счетной палат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t xml:space="preserve">города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94,6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экономики и промышленной политики – на уровне </w:t>
      </w:r>
      <w:r>
        <w:rPr>
          <w:color w:val="auto"/>
          <w:sz w:val="28"/>
          <w:szCs w:val="28"/>
          <w:highlight w:val="white"/>
        </w:rPr>
        <w:t xml:space="preserve">94,4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общественной безопасности – на уровне </w:t>
      </w:r>
      <w:r>
        <w:rPr>
          <w:color w:val="auto"/>
          <w:sz w:val="28"/>
          <w:szCs w:val="28"/>
          <w:highlight w:val="white"/>
        </w:rPr>
        <w:t xml:space="preserve">93,9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Пермской городской Думы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93,8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 Кировского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91,0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департамента транспорта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90,3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земельных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89,5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управления капитального строительства </w:t>
      </w:r>
      <w:r>
        <w:rPr>
          <w:color w:val="auto"/>
          <w:sz w:val="28"/>
          <w:szCs w:val="28"/>
          <w:highlight w:val="white"/>
        </w:rPr>
        <w:t xml:space="preserve">–  на уровне </w:t>
      </w:r>
      <w:r>
        <w:rPr>
          <w:color w:val="auto"/>
          <w:sz w:val="28"/>
          <w:szCs w:val="28"/>
          <w:highlight w:val="white"/>
        </w:rPr>
        <w:t xml:space="preserve">88,62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администрации п. Новые </w:t>
      </w:r>
      <w:r>
        <w:rPr>
          <w:color w:val="auto"/>
          <w:sz w:val="28"/>
          <w:szCs w:val="28"/>
          <w:highlight w:val="white"/>
        </w:rPr>
        <w:t xml:space="preserve">Ляды</w:t>
      </w:r>
      <w:r>
        <w:rPr>
          <w:color w:val="auto"/>
          <w:sz w:val="28"/>
          <w:szCs w:val="28"/>
          <w:highlight w:val="white"/>
        </w:rPr>
        <w:t xml:space="preserve"> – на уровне </w:t>
      </w:r>
      <w:r>
        <w:rPr>
          <w:color w:val="auto"/>
          <w:sz w:val="28"/>
          <w:szCs w:val="28"/>
          <w:highlight w:val="white"/>
        </w:rPr>
        <w:t xml:space="preserve">88,56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администрации Ленинского района – на уровне </w:t>
      </w:r>
      <w:r>
        <w:rPr>
          <w:color w:val="auto"/>
          <w:sz w:val="28"/>
          <w:szCs w:val="28"/>
          <w:highlight w:val="white"/>
        </w:rPr>
        <w:t xml:space="preserve">86,0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епартамента имущественных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84,2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управления по экологии и природопользованию – на уровне </w:t>
      </w:r>
      <w:r>
        <w:rPr>
          <w:color w:val="auto"/>
          <w:sz w:val="28"/>
          <w:szCs w:val="28"/>
          <w:highlight w:val="white"/>
        </w:rPr>
        <w:t xml:space="preserve">79,5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4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</w:t>
      </w:r>
      <w:r>
        <w:rPr>
          <w:color w:val="auto"/>
          <w:sz w:val="28"/>
          <w:szCs w:val="28"/>
          <w:highlight w:val="white"/>
        </w:rPr>
        <w:t xml:space="preserve">48,9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>
        <w:rPr>
          <w:b/>
          <w:color w:val="auto"/>
          <w:sz w:val="28"/>
          <w:szCs w:val="28"/>
        </w:rPr>
        <w:t xml:space="preserve">2.2. Исполнение расходов по переданным государственным полномочиям: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</w:r>
      <w:r>
        <w:rPr>
          <w:b/>
          <w:bCs/>
          <w:color w:val="auto"/>
          <w:sz w:val="16"/>
          <w:szCs w:val="16"/>
        </w:rPr>
      </w:r>
      <w:r>
        <w:rPr>
          <w:b/>
          <w:bCs/>
          <w:color w:val="auto"/>
          <w:sz w:val="16"/>
          <w:szCs w:val="16"/>
        </w:rPr>
      </w:r>
    </w:p>
    <w:p>
      <w:pPr>
        <w:spacing w:line="240" w:lineRule="auto"/>
        <w:tabs>
          <w:tab w:val="num" w:pos="90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выше 95,0 % </w:t>
      </w:r>
      <w:r>
        <w:rPr>
          <w:color w:val="000000" w:themeColor="text1"/>
          <w:sz w:val="28"/>
          <w:szCs w:val="28"/>
        </w:rPr>
        <w:t xml:space="preserve">обеспечено следующими главными распорядителями бюдже</w:t>
      </w:r>
      <w:r>
        <w:rPr>
          <w:color w:val="000000" w:themeColor="text1"/>
          <w:sz w:val="28"/>
          <w:szCs w:val="28"/>
        </w:rPr>
        <w:t xml:space="preserve">тных средств: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color w:val="auto"/>
          <w:sz w:val="28"/>
          <w:szCs w:val="28"/>
          <w:highlight w:val="white"/>
        </w:rPr>
        <w:t xml:space="preserve">100,0 %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департаментом образования – на уровне </w:t>
      </w:r>
      <w:r>
        <w:rPr>
          <w:color w:val="auto"/>
          <w:sz w:val="28"/>
          <w:szCs w:val="28"/>
        </w:rPr>
        <w:t xml:space="preserve">100,0</w:t>
      </w:r>
      <w:r>
        <w:rPr>
          <w:color w:val="auto"/>
          <w:sz w:val="28"/>
          <w:szCs w:val="28"/>
        </w:rPr>
        <w:t xml:space="preserve"> %;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департаментом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100,0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color w:val="auto"/>
          <w:sz w:val="28"/>
          <w:szCs w:val="28"/>
          <w:highlight w:val="white"/>
        </w:rPr>
        <w:t xml:space="preserve">97,4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5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администрацией Свердловского района – на уровне </w:t>
      </w:r>
      <w:r>
        <w:rPr>
          <w:color w:val="auto"/>
          <w:sz w:val="28"/>
          <w:szCs w:val="28"/>
        </w:rPr>
        <w:t xml:space="preserve">97,2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администрацией Индустриального района – на уровне </w:t>
      </w:r>
      <w:r>
        <w:rPr>
          <w:color w:val="auto"/>
          <w:sz w:val="28"/>
          <w:szCs w:val="28"/>
        </w:rPr>
        <w:t xml:space="preserve">95,94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администрацией Кировского района – на уровне </w:t>
      </w:r>
      <w:r>
        <w:rPr>
          <w:color w:val="auto"/>
          <w:sz w:val="28"/>
          <w:szCs w:val="28"/>
        </w:rPr>
        <w:t xml:space="preserve">95,87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управлением жилищных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95,6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709"/>
        <w:rPr>
          <w:color w:val="000000" w:themeColor="text1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ниже 9</w:t>
      </w:r>
      <w:r>
        <w:rPr>
          <w:b/>
          <w:color w:val="000000" w:themeColor="text1"/>
          <w:sz w:val="28"/>
          <w:szCs w:val="28"/>
        </w:rPr>
        <w:t xml:space="preserve">5,0 % </w:t>
      </w:r>
      <w:r>
        <w:rPr>
          <w:color w:val="000000" w:themeColor="text1"/>
          <w:sz w:val="28"/>
          <w:szCs w:val="28"/>
        </w:rPr>
        <w:t xml:space="preserve">сложилось исполнение у следующих главных распорядителей бюдже</w:t>
      </w:r>
      <w:r>
        <w:rPr>
          <w:color w:val="000000" w:themeColor="text1"/>
          <w:sz w:val="28"/>
          <w:szCs w:val="28"/>
        </w:rPr>
        <w:t xml:space="preserve">тных средств: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социальной политики – на уровне </w:t>
      </w:r>
      <w:r>
        <w:rPr>
          <w:color w:val="auto"/>
          <w:sz w:val="28"/>
          <w:szCs w:val="28"/>
        </w:rPr>
        <w:t xml:space="preserve">94,3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c00000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управления записи актов гражданского состояния – на уровне </w:t>
      </w:r>
      <w:r>
        <w:rPr>
          <w:color w:val="auto"/>
          <w:sz w:val="28"/>
          <w:szCs w:val="28"/>
        </w:rPr>
        <w:t xml:space="preserve">93,8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</w:t>
      </w:r>
      <w:r>
        <w:rPr>
          <w:color w:val="auto"/>
          <w:sz w:val="28"/>
          <w:szCs w:val="28"/>
          <w:highlight w:val="white"/>
        </w:rPr>
        <w:t xml:space="preserve">92,7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администрации Орджоникидзевского района – на уровне </w:t>
      </w:r>
      <w:r>
        <w:rPr>
          <w:color w:val="auto"/>
          <w:sz w:val="28"/>
          <w:szCs w:val="28"/>
        </w:rPr>
        <w:t xml:space="preserve">92,4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дминистрации Мотовилихинского района – на уровне </w:t>
      </w:r>
      <w:r>
        <w:rPr>
          <w:color w:val="auto"/>
          <w:sz w:val="28"/>
          <w:szCs w:val="28"/>
        </w:rPr>
        <w:t xml:space="preserve">88,5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кон</w:t>
      </w:r>
      <w:r>
        <w:rPr>
          <w:color w:val="auto"/>
          <w:sz w:val="28"/>
          <w:szCs w:val="28"/>
        </w:rPr>
        <w:t xml:space="preserve">трольного департамента – на уровне </w:t>
      </w:r>
      <w:r>
        <w:rPr>
          <w:color w:val="auto"/>
          <w:sz w:val="28"/>
          <w:szCs w:val="28"/>
        </w:rPr>
        <w:t xml:space="preserve">87,2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6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дорог и благоустройства – на уровне </w:t>
      </w:r>
      <w:r>
        <w:rPr>
          <w:color w:val="auto"/>
          <w:sz w:val="28"/>
          <w:szCs w:val="28"/>
        </w:rPr>
        <w:t xml:space="preserve">87,1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8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администрации Дзержинского района – на уровне </w:t>
      </w:r>
      <w:r>
        <w:rPr>
          <w:color w:val="auto"/>
          <w:sz w:val="28"/>
          <w:szCs w:val="28"/>
        </w:rPr>
        <w:t xml:space="preserve">83,9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numPr>
          <w:ilvl w:val="0"/>
          <w:numId w:val="16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транспорта – на уровне </w:t>
      </w:r>
      <w:r>
        <w:rPr>
          <w:color w:val="auto"/>
          <w:sz w:val="28"/>
          <w:szCs w:val="28"/>
        </w:rPr>
        <w:t xml:space="preserve">81,82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5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управления по экологии и природопользованию – на уровне </w:t>
      </w:r>
      <w:r>
        <w:rPr>
          <w:color w:val="auto"/>
          <w:sz w:val="28"/>
          <w:szCs w:val="28"/>
        </w:rPr>
        <w:t xml:space="preserve">81,8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"/>
        </w:numPr>
        <w:contextualSpacing w:val="0"/>
        <w:jc w:val="both"/>
        <w:spacing w:before="0" w:after="0" w:line="240" w:lineRule="auto"/>
        <w:rPr>
          <w:color w:val="c00000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администрации Ленинского района – на уровне </w:t>
      </w:r>
      <w:r>
        <w:rPr>
          <w:color w:val="auto"/>
          <w:sz w:val="28"/>
          <w:szCs w:val="28"/>
        </w:rPr>
        <w:t xml:space="preserve">68,9</w:t>
      </w:r>
      <w:r>
        <w:rPr>
          <w:color w:val="auto"/>
          <w:sz w:val="28"/>
          <w:szCs w:val="28"/>
        </w:rPr>
        <w:t xml:space="preserve"> %;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п. Новые </w:t>
      </w:r>
      <w:r>
        <w:rPr>
          <w:color w:val="auto"/>
          <w:sz w:val="28"/>
          <w:szCs w:val="28"/>
        </w:rPr>
        <w:t xml:space="preserve">Ляды</w:t>
      </w:r>
      <w:r>
        <w:rPr>
          <w:color w:val="auto"/>
          <w:sz w:val="28"/>
          <w:szCs w:val="28"/>
        </w:rPr>
        <w:t xml:space="preserve"> – на уровне </w:t>
      </w:r>
      <w:r>
        <w:rPr>
          <w:color w:val="auto"/>
          <w:sz w:val="28"/>
          <w:szCs w:val="28"/>
        </w:rPr>
        <w:t xml:space="preserve">58,0</w:t>
      </w:r>
      <w:r>
        <w:rPr>
          <w:color w:val="auto"/>
          <w:sz w:val="28"/>
          <w:szCs w:val="28"/>
        </w:rPr>
        <w:t xml:space="preserve">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2.3. Исполнение расходов по средствам, переданным из краевого бюджета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на выполнение полномочий городского округа: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rPr>
          <w:b/>
          <w:bCs/>
          <w:color w:val="auto"/>
          <w:sz w:val="16"/>
          <w:szCs w:val="16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b/>
          <w:bCs/>
          <w:color w:val="auto"/>
          <w:sz w:val="16"/>
          <w:szCs w:val="16"/>
        </w:rPr>
      </w:r>
      <w:r>
        <w:rPr>
          <w:b/>
          <w:bCs/>
          <w:color w:val="auto"/>
          <w:sz w:val="16"/>
          <w:szCs w:val="16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</w:rPr>
        <w:t xml:space="preserve">выше 95,0 % </w:t>
      </w:r>
      <w:r>
        <w:rPr>
          <w:color w:val="000000" w:themeColor="text1"/>
          <w:sz w:val="28"/>
          <w:szCs w:val="28"/>
        </w:rPr>
        <w:t xml:space="preserve">обеспечено следующими главными распорядителями бюджетных </w:t>
      </w:r>
      <w:r>
        <w:rPr>
          <w:color w:val="000000" w:themeColor="text1"/>
          <w:sz w:val="28"/>
          <w:szCs w:val="28"/>
        </w:rPr>
        <w:t xml:space="preserve">средств: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епартаментом культуры и молодежной политики – на уровне 100,0 %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образования – на уровне </w:t>
      </w:r>
      <w:r>
        <w:rPr>
          <w:color w:val="auto"/>
          <w:sz w:val="28"/>
          <w:szCs w:val="28"/>
        </w:rPr>
        <w:t xml:space="preserve">100,0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департаментом социал</w:t>
      </w:r>
      <w:r>
        <w:rPr>
          <w:color w:val="auto"/>
          <w:sz w:val="28"/>
          <w:szCs w:val="28"/>
        </w:rPr>
        <w:t xml:space="preserve">ьной политики – на уровне </w:t>
      </w:r>
      <w:r>
        <w:rPr>
          <w:color w:val="auto"/>
          <w:sz w:val="28"/>
          <w:szCs w:val="28"/>
        </w:rPr>
        <w:t xml:space="preserve">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3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</w:t>
      </w:r>
      <w:r>
        <w:rPr>
          <w:color w:val="auto"/>
          <w:sz w:val="28"/>
          <w:szCs w:val="28"/>
          <w:highlight w:val="white"/>
        </w:rPr>
        <w:t xml:space="preserve"> города – на уровне </w:t>
      </w:r>
      <w:r>
        <w:rPr>
          <w:color w:val="auto"/>
          <w:sz w:val="28"/>
          <w:szCs w:val="28"/>
          <w:highlight w:val="white"/>
        </w:rPr>
        <w:t xml:space="preserve">100,0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color w:val="auto"/>
          <w:sz w:val="28"/>
          <w:szCs w:val="28"/>
          <w:highlight w:val="white"/>
        </w:rPr>
        <w:t xml:space="preserve">100,0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департаментом дорог и благоустройства – на уровне </w:t>
      </w:r>
      <w:r>
        <w:rPr>
          <w:color w:val="auto"/>
          <w:sz w:val="28"/>
          <w:szCs w:val="28"/>
          <w:highlight w:val="white"/>
        </w:rPr>
        <w:t xml:space="preserve">99,99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2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жилищных отношений – на уровне </w:t>
      </w:r>
      <w:r>
        <w:rPr>
          <w:color w:val="auto"/>
          <w:sz w:val="28"/>
          <w:szCs w:val="28"/>
        </w:rPr>
        <w:t xml:space="preserve">96,9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360" w:firstLine="0"/>
        <w:spacing w:line="240" w:lineRule="auto"/>
        <w:rPr>
          <w:color w:val="auto"/>
          <w:sz w:val="16"/>
          <w:szCs w:val="16"/>
        </w:rPr>
      </w:pPr>
      <w:r>
        <w:rPr>
          <w:color w:val="000000" w:themeColor="text1"/>
          <w:sz w:val="16"/>
          <w:szCs w:val="16"/>
          <w:highlight w:val="none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left="0" w:firstLine="709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  <w:t xml:space="preserve">ниже 9</w:t>
      </w:r>
      <w:r>
        <w:rPr>
          <w:b/>
          <w:color w:val="000000" w:themeColor="text1"/>
          <w:sz w:val="28"/>
          <w:szCs w:val="28"/>
        </w:rPr>
        <w:t xml:space="preserve">5,0 % </w:t>
      </w:r>
      <w:r>
        <w:rPr>
          <w:color w:val="000000" w:themeColor="text1"/>
          <w:sz w:val="28"/>
          <w:szCs w:val="28"/>
        </w:rPr>
        <w:t xml:space="preserve">сложилось исполнение у следующих главных распорядителей бюдже</w:t>
      </w:r>
      <w:r>
        <w:rPr>
          <w:color w:val="000000" w:themeColor="text1"/>
          <w:sz w:val="28"/>
          <w:szCs w:val="28"/>
        </w:rPr>
        <w:t xml:space="preserve">тных средств:</w:t>
      </w: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управления капитального строительства – на уровне </w:t>
      </w:r>
      <w:r>
        <w:rPr>
          <w:color w:val="auto"/>
          <w:sz w:val="28"/>
          <w:szCs w:val="28"/>
        </w:rPr>
        <w:t xml:space="preserve">91,7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общ</w:t>
      </w:r>
      <w:r>
        <w:rPr>
          <w:color w:val="auto"/>
          <w:sz w:val="28"/>
          <w:szCs w:val="28"/>
        </w:rPr>
        <w:t xml:space="preserve">ественной безопасности – на уровне </w:t>
      </w:r>
      <w:r>
        <w:rPr>
          <w:color w:val="auto"/>
          <w:sz w:val="28"/>
          <w:szCs w:val="28"/>
        </w:rPr>
        <w:t xml:space="preserve">91,0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транспорта – на уровне </w:t>
      </w:r>
      <w:r>
        <w:rPr>
          <w:color w:val="auto"/>
          <w:sz w:val="28"/>
          <w:szCs w:val="28"/>
        </w:rPr>
        <w:t xml:space="preserve">85,4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департамента жилищно-коммунального хозяйства – на уровне </w:t>
      </w:r>
      <w:r>
        <w:rPr>
          <w:color w:val="auto"/>
          <w:sz w:val="28"/>
          <w:szCs w:val="28"/>
        </w:rPr>
        <w:t xml:space="preserve">82,7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управления по экологии и природо</w:t>
      </w:r>
      <w:r>
        <w:rPr>
          <w:color w:val="auto"/>
          <w:sz w:val="28"/>
          <w:szCs w:val="28"/>
        </w:rPr>
        <w:t xml:space="preserve">пользованию – на уровне </w:t>
      </w:r>
      <w:r>
        <w:rPr>
          <w:color w:val="auto"/>
          <w:sz w:val="28"/>
          <w:szCs w:val="28"/>
        </w:rPr>
        <w:t xml:space="preserve">77,1</w:t>
      </w:r>
      <w:r>
        <w:rPr>
          <w:color w:val="auto"/>
          <w:sz w:val="28"/>
          <w:szCs w:val="28"/>
        </w:rPr>
        <w:t xml:space="preserve">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360" w:firstLine="0"/>
        <w:spacing w:line="240" w:lineRule="auto"/>
        <w:rPr>
          <w:color w:val="c00000"/>
          <w:sz w:val="28"/>
          <w:szCs w:val="28"/>
          <w:highlight w:val="white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  <w:highlight w:val="white"/>
        </w:rPr>
      </w:r>
      <w:r>
        <w:rPr>
          <w:color w:val="c00000"/>
          <w:sz w:val="28"/>
          <w:szCs w:val="28"/>
          <w:highlight w:val="white"/>
        </w:rPr>
      </w:r>
    </w:p>
    <w:p>
      <w:pPr>
        <w:ind w:left="0" w:firstLine="0"/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  <w:p>
    <w:pPr>
      <w:pStyle w:val="813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rPr>
        <w:rStyle w:val="964"/>
        <w:sz w:val="23"/>
        <w:szCs w:val="23"/>
      </w:rPr>
      <w:framePr w:wrap="around" w:vAnchor="text" w:hAnchor="margin" w:xAlign="right" w:y="1"/>
    </w:pPr>
    <w:r>
      <w:rPr>
        <w:rStyle w:val="964"/>
        <w:sz w:val="23"/>
        <w:szCs w:val="23"/>
      </w:rPr>
      <w:fldChar w:fldCharType="begin"/>
    </w:r>
    <w:r>
      <w:rPr>
        <w:rStyle w:val="964"/>
        <w:sz w:val="23"/>
        <w:szCs w:val="23"/>
      </w:rPr>
      <w:instrText xml:space="preserve">PAGE  </w:instrText>
    </w:r>
    <w:r>
      <w:rPr>
        <w:rStyle w:val="964"/>
        <w:sz w:val="23"/>
        <w:szCs w:val="23"/>
      </w:rPr>
      <w:fldChar w:fldCharType="end"/>
    </w:r>
    <w:r>
      <w:rPr>
        <w:rStyle w:val="964"/>
        <w:sz w:val="23"/>
        <w:szCs w:val="23"/>
      </w:rPr>
    </w:r>
    <w:r>
      <w:rPr>
        <w:rStyle w:val="964"/>
        <w:sz w:val="23"/>
        <w:szCs w:val="23"/>
      </w:rPr>
    </w:r>
  </w:p>
  <w:p>
    <w:pPr>
      <w:pStyle w:val="813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2"/>
  </w:num>
  <w:num w:numId="5">
    <w:abstractNumId w:val="8"/>
  </w:num>
  <w:num w:numId="6">
    <w:abstractNumId w:val="21"/>
  </w:num>
  <w:num w:numId="7">
    <w:abstractNumId w:val="15"/>
  </w:num>
  <w:num w:numId="8">
    <w:abstractNumId w:val="5"/>
  </w:num>
  <w:num w:numId="9">
    <w:abstractNumId w:val="25"/>
  </w:num>
  <w:num w:numId="10">
    <w:abstractNumId w:val="17"/>
  </w:num>
  <w:num w:numId="11">
    <w:abstractNumId w:val="9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1"/>
  </w:num>
  <w:num w:numId="17">
    <w:abstractNumId w:val="26"/>
  </w:num>
  <w:num w:numId="18">
    <w:abstractNumId w:val="10"/>
  </w:num>
  <w:num w:numId="19">
    <w:abstractNumId w:val="7"/>
  </w:num>
  <w:num w:numId="20">
    <w:abstractNumId w:val="27"/>
  </w:num>
  <w:num w:numId="21">
    <w:abstractNumId w:val="3"/>
  </w:num>
  <w:num w:numId="22">
    <w:abstractNumId w:val="23"/>
  </w:num>
  <w:num w:numId="23">
    <w:abstractNumId w:val="0"/>
  </w:num>
  <w:num w:numId="24">
    <w:abstractNumId w:val="2"/>
  </w:num>
  <w:num w:numId="25">
    <w:abstractNumId w:val="24"/>
  </w:num>
  <w:num w:numId="26">
    <w:abstractNumId w:val="6"/>
  </w:num>
  <w:num w:numId="27">
    <w:abstractNumId w:val="22"/>
  </w:num>
  <w:num w:numId="28">
    <w:abstractNumId w:val="14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3">
    <w:name w:val="Heading 1"/>
    <w:basedOn w:val="762"/>
    <w:next w:val="762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4">
    <w:name w:val="Heading 2"/>
    <w:basedOn w:val="762"/>
    <w:next w:val="762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5">
    <w:name w:val="Heading 3"/>
    <w:basedOn w:val="762"/>
    <w:next w:val="762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8">
    <w:name w:val="Heading 6"/>
    <w:basedOn w:val="762"/>
    <w:next w:val="762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762"/>
    <w:next w:val="762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762"/>
    <w:next w:val="762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762"/>
    <w:next w:val="762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Heading 1 Char"/>
    <w:basedOn w:val="772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basedOn w:val="772"/>
    <w:uiPriority w:val="9"/>
    <w:rPr>
      <w:rFonts w:ascii="Arial" w:hAnsi="Arial" w:eastAsia="Arial" w:cs="Arial"/>
      <w:sz w:val="34"/>
    </w:rPr>
  </w:style>
  <w:style w:type="character" w:styleId="777" w:customStyle="1">
    <w:name w:val="Heading 3 Char"/>
    <w:basedOn w:val="772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Heading 4 Char"/>
    <w:basedOn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5 Char"/>
    <w:basedOn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6 Char"/>
    <w:basedOn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Heading 7 Char"/>
    <w:basedOn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Heading 8 Char"/>
    <w:basedOn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9 Char"/>
    <w:basedOn w:val="772"/>
    <w:uiPriority w:val="9"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Title Char"/>
    <w:basedOn w:val="772"/>
    <w:uiPriority w:val="10"/>
    <w:rPr>
      <w:sz w:val="48"/>
      <w:szCs w:val="48"/>
    </w:rPr>
  </w:style>
  <w:style w:type="character" w:styleId="785" w:customStyle="1">
    <w:name w:val="Subtitle Char"/>
    <w:basedOn w:val="772"/>
    <w:uiPriority w:val="11"/>
    <w:rPr>
      <w:sz w:val="24"/>
      <w:szCs w:val="24"/>
    </w:rPr>
  </w:style>
  <w:style w:type="character" w:styleId="786" w:customStyle="1">
    <w:name w:val="Quote Char"/>
    <w:uiPriority w:val="29"/>
    <w:rPr>
      <w:i/>
    </w:rPr>
  </w:style>
  <w:style w:type="character" w:styleId="787" w:customStyle="1">
    <w:name w:val="Intense Quote Char"/>
    <w:uiPriority w:val="30"/>
    <w:rPr>
      <w:i/>
    </w:rPr>
  </w:style>
  <w:style w:type="character" w:styleId="788" w:customStyle="1">
    <w:name w:val="Header Char"/>
    <w:basedOn w:val="772"/>
    <w:uiPriority w:val="99"/>
  </w:style>
  <w:style w:type="character" w:styleId="789" w:customStyle="1">
    <w:name w:val="Caption Char"/>
    <w:uiPriority w:val="99"/>
  </w:style>
  <w:style w:type="character" w:styleId="790" w:customStyle="1">
    <w:name w:val="Footnote Text Char"/>
    <w:uiPriority w:val="99"/>
    <w:rPr>
      <w:sz w:val="18"/>
    </w:rPr>
  </w:style>
  <w:style w:type="character" w:styleId="791" w:customStyle="1">
    <w:name w:val="Endnote Text Char"/>
    <w:uiPriority w:val="99"/>
    <w:rPr>
      <w:sz w:val="20"/>
    </w:rPr>
  </w:style>
  <w:style w:type="character" w:styleId="792" w:customStyle="1">
    <w:name w:val="Заголовок 1 Знак"/>
    <w:link w:val="763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Заголовок 2 Знак"/>
    <w:link w:val="764"/>
    <w:uiPriority w:val="9"/>
    <w:rPr>
      <w:rFonts w:ascii="Arial" w:hAnsi="Arial" w:eastAsia="Arial" w:cs="Arial"/>
      <w:sz w:val="34"/>
    </w:rPr>
  </w:style>
  <w:style w:type="character" w:styleId="794" w:customStyle="1">
    <w:name w:val="Заголовок 3 Знак"/>
    <w:link w:val="765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Заголовок 4 Знак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62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802">
    <w:name w:val="No Spacing"/>
    <w:uiPriority w:val="1"/>
    <w:qFormat/>
  </w:style>
  <w:style w:type="paragraph" w:styleId="803">
    <w:name w:val="Title"/>
    <w:basedOn w:val="762"/>
    <w:next w:val="762"/>
    <w:link w:val="8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4" w:customStyle="1">
    <w:name w:val="Заголовок Знак"/>
    <w:link w:val="803"/>
    <w:uiPriority w:val="10"/>
    <w:rPr>
      <w:sz w:val="48"/>
      <w:szCs w:val="48"/>
    </w:rPr>
  </w:style>
  <w:style w:type="paragraph" w:styleId="805">
    <w:name w:val="Subtitle"/>
    <w:basedOn w:val="762"/>
    <w:next w:val="762"/>
    <w:link w:val="806"/>
    <w:uiPriority w:val="11"/>
    <w:qFormat/>
    <w:pPr>
      <w:spacing w:before="200" w:after="200"/>
    </w:pPr>
  </w:style>
  <w:style w:type="character" w:styleId="806" w:customStyle="1">
    <w:name w:val="Подзаголовок Знак"/>
    <w:link w:val="805"/>
    <w:uiPriority w:val="11"/>
    <w:rPr>
      <w:sz w:val="24"/>
      <w:szCs w:val="24"/>
    </w:rPr>
  </w:style>
  <w:style w:type="paragraph" w:styleId="807">
    <w:name w:val="Quote"/>
    <w:basedOn w:val="762"/>
    <w:next w:val="762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2"/>
    <w:next w:val="762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paragraph" w:styleId="811">
    <w:name w:val="Header"/>
    <w:basedOn w:val="762"/>
    <w:link w:val="812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812" w:customStyle="1">
    <w:name w:val="Верхний колонтитул Знак"/>
    <w:link w:val="811"/>
    <w:uiPriority w:val="99"/>
  </w:style>
  <w:style w:type="paragraph" w:styleId="813">
    <w:name w:val="Footer"/>
    <w:basedOn w:val="762"/>
    <w:link w:val="963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14" w:customStyle="1">
    <w:name w:val="Footer Char"/>
    <w:uiPriority w:val="99"/>
  </w:style>
  <w:style w:type="paragraph" w:styleId="815">
    <w:name w:val="Caption"/>
    <w:basedOn w:val="762"/>
    <w:next w:val="762"/>
    <w:link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6" w:customStyle="1">
    <w:name w:val="Название объекта Знак"/>
    <w:link w:val="815"/>
    <w:uiPriority w:val="99"/>
  </w:style>
  <w:style w:type="table" w:styleId="81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3">
    <w:name w:val="Hyperlink"/>
    <w:uiPriority w:val="99"/>
    <w:unhideWhenUsed/>
    <w:rPr>
      <w:color w:val="0000ff" w:themeColor="hyperlink"/>
      <w:u w:val="single"/>
    </w:rPr>
  </w:style>
  <w:style w:type="paragraph" w:styleId="944">
    <w:name w:val="footnote text"/>
    <w:basedOn w:val="762"/>
    <w:link w:val="945"/>
    <w:uiPriority w:val="99"/>
    <w:semiHidden/>
    <w:unhideWhenUsed/>
    <w:pPr>
      <w:spacing w:after="40" w:line="240" w:lineRule="auto"/>
    </w:pPr>
    <w:rPr>
      <w:sz w:val="18"/>
    </w:rPr>
  </w:style>
  <w:style w:type="character" w:styleId="945" w:customStyle="1">
    <w:name w:val="Текст сноски Знак"/>
    <w:link w:val="944"/>
    <w:uiPriority w:val="99"/>
    <w:rPr>
      <w:sz w:val="18"/>
    </w:rPr>
  </w:style>
  <w:style w:type="character" w:styleId="946">
    <w:name w:val="footnote reference"/>
    <w:uiPriority w:val="99"/>
    <w:unhideWhenUsed/>
    <w:rPr>
      <w:vertAlign w:val="superscript"/>
    </w:rPr>
  </w:style>
  <w:style w:type="paragraph" w:styleId="947">
    <w:name w:val="endnote text"/>
    <w:basedOn w:val="762"/>
    <w:link w:val="948"/>
    <w:uiPriority w:val="99"/>
    <w:semiHidden/>
    <w:unhideWhenUsed/>
    <w:pPr>
      <w:spacing w:line="240" w:lineRule="auto"/>
    </w:pPr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uiPriority w:val="99"/>
    <w:semiHidden/>
    <w:unhideWhenUsed/>
    <w:rPr>
      <w:vertAlign w:val="superscript"/>
    </w:rPr>
  </w:style>
  <w:style w:type="paragraph" w:styleId="950">
    <w:name w:val="toc 1"/>
    <w:basedOn w:val="762"/>
    <w:next w:val="762"/>
    <w:uiPriority w:val="39"/>
    <w:unhideWhenUsed/>
    <w:pPr>
      <w:spacing w:after="57"/>
    </w:pPr>
  </w:style>
  <w:style w:type="paragraph" w:styleId="951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952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53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54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55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56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57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58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62"/>
    <w:next w:val="762"/>
    <w:uiPriority w:val="99"/>
    <w:unhideWhenUsed/>
  </w:style>
  <w:style w:type="paragraph" w:styleId="961">
    <w:name w:val="Body Text Indent"/>
    <w:basedOn w:val="762"/>
    <w:link w:val="962"/>
    <w:pPr>
      <w:ind w:firstLine="720"/>
      <w:spacing w:line="360" w:lineRule="auto"/>
    </w:pPr>
    <w:rPr>
      <w:sz w:val="28"/>
      <w:szCs w:val="20"/>
      <w:lang w:val="en-US"/>
    </w:rPr>
  </w:style>
  <w:style w:type="character" w:styleId="962" w:customStyle="1">
    <w:name w:val="Основной текст с отступом Знак"/>
    <w:link w:val="96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3" w:customStyle="1">
    <w:name w:val="Нижний колонтитул Знак"/>
    <w:link w:val="8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>
    <w:name w:val="page number"/>
    <w:basedOn w:val="772"/>
  </w:style>
  <w:style w:type="paragraph" w:styleId="965">
    <w:name w:val="Body Text Indent 2"/>
    <w:basedOn w:val="762"/>
    <w:link w:val="966"/>
    <w:pPr>
      <w:ind w:firstLine="720"/>
    </w:pPr>
    <w:rPr>
      <w:b/>
      <w:sz w:val="32"/>
      <w:szCs w:val="32"/>
      <w:lang w:val="en-US"/>
    </w:rPr>
  </w:style>
  <w:style w:type="character" w:styleId="966" w:customStyle="1">
    <w:name w:val="Основной текст с отступом 2 Знак"/>
    <w:link w:val="9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967">
    <w:name w:val="Balloon Text"/>
    <w:basedOn w:val="762"/>
    <w:link w:val="968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968" w:customStyle="1">
    <w:name w:val="Текст выноски Знак"/>
    <w:link w:val="9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69" w:customStyle="1">
    <w:name w:val="Верхний колонтитул;Знак"/>
    <w:basedOn w:val="762"/>
    <w:link w:val="970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970" w:customStyle="1">
    <w:name w:val="Верхний колонтитул Знак;Знак Знак1"/>
    <w:link w:val="9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>
    <w:name w:val="Body Text"/>
    <w:basedOn w:val="762"/>
    <w:link w:val="972"/>
    <w:uiPriority w:val="99"/>
    <w:unhideWhenUsed/>
    <w:pPr>
      <w:spacing w:after="120"/>
    </w:pPr>
  </w:style>
  <w:style w:type="character" w:styleId="972" w:customStyle="1">
    <w:name w:val="Основной текст Знак"/>
    <w:link w:val="971"/>
    <w:uiPriority w:val="99"/>
    <w:rPr>
      <w:rFonts w:ascii="Times New Roman" w:hAnsi="Times New Roman" w:eastAsia="Times New Roman"/>
      <w:sz w:val="24"/>
      <w:szCs w:val="24"/>
    </w:rPr>
  </w:style>
  <w:style w:type="paragraph" w:styleId="973" w:customStyle="1">
    <w:name w:val="Исполнитель"/>
    <w:basedOn w:val="971"/>
    <w:pPr>
      <w:jc w:val="left"/>
      <w:spacing w:line="240" w:lineRule="exact"/>
      <w:widowControl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Департамент финансов админситрации г.Перми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legotkina-nyu</cp:lastModifiedBy>
  <cp:revision>4554</cp:revision>
  <dcterms:created xsi:type="dcterms:W3CDTF">2022-06-10T10:27:00Z</dcterms:created>
  <dcterms:modified xsi:type="dcterms:W3CDTF">2025-09-11T07:40:37Z</dcterms:modified>
  <cp:version>983040</cp:version>
</cp:coreProperties>
</file>