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13"/>
        <w:jc w:val="right"/>
        <w:spacing w:line="240" w:lineRule="atLeast"/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  <w:highlight w:val="white"/>
        </w:rPr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r>
    </w:p>
    <w:p>
      <w:pPr>
        <w:pStyle w:val="1313"/>
        <w:jc w:val="right"/>
        <w:spacing w:line="240" w:lineRule="atLeast"/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  <w:highlight w:val="white"/>
        </w:rPr>
        <w:t xml:space="preserve">к письму</w:t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28"/>
          <w:szCs w:val="40"/>
          <w:highlight w:val="white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white"/>
        </w:rPr>
      </w:r>
    </w:p>
    <w:p>
      <w:pPr>
        <w:pStyle w:val="1313"/>
        <w:jc w:val="center"/>
        <w:spacing w:line="240" w:lineRule="auto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20"/>
          <w:szCs w:val="31"/>
          <w:highlight w:val="white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  <w:highlight w:val="white"/>
        </w:rPr>
      </w:r>
    </w:p>
    <w:p>
      <w:pPr>
        <w:pStyle w:val="1313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ОПЕРАТИВНЫЙ АНАЛИЗ Исполнения бюджета</w:t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</w:p>
    <w:p>
      <w:pPr>
        <w:pStyle w:val="1313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города Перми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1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СЕНТЯБРЯ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 года </w:t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</w:p>
    <w:p>
      <w:pPr>
        <w:pStyle w:val="1313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16"/>
          <w:szCs w:val="16"/>
          <w:highlight w:val="white"/>
        </w:rPr>
      </w:r>
    </w:p>
    <w:p>
      <w:pPr>
        <w:pStyle w:val="1313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пояснительная записка</w:t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</w:p>
    <w:p>
      <w:pPr>
        <w:ind w:firstLine="567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1313"/>
        <w:ind w:firstLine="567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1313"/>
        <w:contextualSpacing w:val="0"/>
        <w:ind w:firstLine="709"/>
        <w:jc w:val="both"/>
        <w:spacing w:line="240" w:lineRule="auto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Исполнение бюджета города Перми по состоянию на 1 сентября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перативным данным характеризуется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следующими показателями: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ab/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    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                       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13"/>
        <w:contextualSpacing w:val="0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  <w:tab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по доходам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сумме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40 160 342,9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99</w:t>
      </w:r>
      <w:r>
        <w:rPr>
          <w:rFonts w:ascii="Times New Roman" w:hAnsi="Times New Roman" w:eastAsia="Times New Roman" w:cs="Times New Roman"/>
          <w:b/>
          <w:bCs/>
          <w:strike w:val="0"/>
          <w:color w:val="000000" w:themeColor="text1"/>
          <w:sz w:val="28"/>
          <w:szCs w:val="28"/>
          <w:highlight w:val="white"/>
        </w:rPr>
        <w:t xml:space="preserve">,7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плана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варя-августа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40 291 329,8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59,5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уточненного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годового плана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67 468 042,3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ыс. руб.). За аналогичный период  прошлого  года  поступления  доходов составляли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36 374 405,3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13"/>
        <w:ind w:firstLine="567"/>
        <w:spacing w:line="240" w:lineRule="atLeast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Ана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лиз поступления доходов бюджета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январь-август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20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25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и 2026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год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ов приведен в следующей таблице: 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ind w:firstLine="567"/>
        <w:spacing w:line="240" w:lineRule="atLeast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ind w:firstLine="567"/>
        <w:jc w:val="center"/>
        <w:spacing w:line="240" w:lineRule="atLeast"/>
        <w:rPr>
          <w:rFonts w:ascii="Times New Roman" w:hAnsi="Times New Roman" w:cs="Times New Roman"/>
          <w:strike w:val="0"/>
          <w:color w:val="000000" w:themeColor="text1"/>
          <w:sz w:val="36"/>
          <w:szCs w:val="36"/>
          <w:highlight w:val="whit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18"/>
          <w:szCs w:val="18"/>
          <w:highlight w:val="white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0"/>
          <w:szCs w:val="20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  <w:t xml:space="preserve">(тыс.руб.)</w:t>
      </w:r>
      <w:r>
        <w:rPr>
          <w:rFonts w:ascii="Times New Roman" w:hAnsi="Times New Roman" w:cs="Times New Roman"/>
          <w:strike w:val="0"/>
          <w:color w:val="000000" w:themeColor="text1"/>
          <w:sz w:val="36"/>
          <w:szCs w:val="36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36"/>
          <w:szCs w:val="36"/>
          <w:highlight w:val="white"/>
        </w:rPr>
      </w:r>
    </w:p>
    <w:tbl>
      <w:tblPr>
        <w:tblW w:w="10413" w:type="dxa"/>
        <w:tblLayout w:type="fixed"/>
        <w:tblLook w:val="04A0" w:firstRow="1" w:lastRow="0" w:firstColumn="1" w:lastColumn="0" w:noHBand="0" w:noVBand="1"/>
      </w:tblPr>
      <w:tblGrid>
        <w:gridCol w:w="4460"/>
        <w:gridCol w:w="1559"/>
        <w:gridCol w:w="1559"/>
        <w:gridCol w:w="1417"/>
        <w:gridCol w:w="1417"/>
      </w:tblGrid>
      <w:tr>
        <w:tblPrEx/>
        <w:trPr>
          <w:trHeight w:val="1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highlight w:val="white"/>
                <w:u w:val="none"/>
                <w:vertAlign w:val="baseline"/>
              </w:rPr>
              <w:t xml:space="preserve">Наименование показателя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highlight w:val="white"/>
                <w:u w:val="none"/>
                <w:vertAlign w:val="baseline"/>
              </w:rPr>
              <w:t xml:space="preserve">Факт на 01.09.2025     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highlight w:val="white"/>
                <w:u w:val="none"/>
                <w:vertAlign w:val="baseline"/>
              </w:rPr>
              <w:t xml:space="preserve">Факт на 01.09.2026     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highlight w:val="white"/>
                <w:u w:val="none"/>
                <w:vertAlign w:val="baseline"/>
              </w:rPr>
              <w:t xml:space="preserve">Отклонение поступлений 2026 года от 2025 года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highlight w:val="white"/>
                <w:u w:val="none"/>
                <w:vertAlign w:val="baseline"/>
              </w:rPr>
              <w:t xml:space="preserve">Отношение поступлений 2026 года к 2025 году, %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32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Налоговые и неналоговые доходы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20 378 205,9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21 899 927,0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1 521 721,1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107,5%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4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  н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алоговые доходы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15 387 705,6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16 255 150,9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867 445,3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105,6%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4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  н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еналоговые доходы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4 990 500,3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5 644 776,1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654 275,8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113,1%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8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Безвозмездные поступления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15 996 199,4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18 260 415,9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2 264 216,5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114,2%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9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bottom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Всего доходов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36 374 405,3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40 160 342,9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3 785 937,6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righ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110,4%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ind w:firstLine="0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ff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trike w:val="0"/>
          <w:color w:val="ff0000"/>
          <w:sz w:val="28"/>
          <w:szCs w:val="28"/>
          <w:highlight w:val="white"/>
        </w:rPr>
        <w:t xml:space="preserve">      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  <w14:ligatures w14:val="none"/>
        </w:rPr>
      </w:r>
    </w:p>
    <w:p>
      <w:pPr>
        <w:pStyle w:val="1313"/>
        <w:ind w:firstLine="567"/>
        <w:spacing w:line="240" w:lineRule="auto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ff0000"/>
          <w:sz w:val="20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color w:val="ff000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асходам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-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сумме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40 570 203,3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/>
          <w:i w:val="0"/>
          <w:iCs w:val="0"/>
          <w:strike w:val="0"/>
          <w:color w:val="000000" w:themeColor="text1"/>
          <w:sz w:val="28"/>
          <w:szCs w:val="28"/>
          <w:highlight w:val="white"/>
          <w:u w:val="none"/>
          <w:vertAlign w:val="baseline"/>
        </w:rPr>
        <w:t xml:space="preserve">97,2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плана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января-августа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41 736 687,5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56,8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годовых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ссигнований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white"/>
          <w:u w:val="none"/>
          <w:vertAlign w:val="baseline"/>
        </w:rPr>
        <w:t xml:space="preserve">71 452 342,9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</w:rPr>
        <w:t xml:space="preserve">ассовый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</w:rPr>
        <w:t xml:space="preserve"> расход з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аналогичный период прошлого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составлял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36 188 456,4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тыс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 руб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ли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95,4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плана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января-августа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ind w:firstLine="567"/>
        <w:spacing w:line="240" w:lineRule="auto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eastAsia="Times New Roman" w:cs="Times New Roman"/>
          <w:color w:val="c0504d" w:themeColor="accent2"/>
          <w:sz w:val="20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1313"/>
        <w:ind w:firstLine="709"/>
        <w:spacing w:line="240" w:lineRule="auto"/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Кассовые выплаты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январь-август 2026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превысили поступления                              по доходам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сумму 409 860,4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0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ff0000"/>
          <w:sz w:val="28"/>
          <w:szCs w:val="20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r>
    </w:p>
    <w:p>
      <w:pPr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ff0000"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color w:val="ff0000"/>
          <w:sz w:val="16"/>
          <w:szCs w:val="20"/>
          <w:highlight w:val="white"/>
        </w:rPr>
      </w:r>
      <w:r>
        <w:rPr>
          <w:rFonts w:ascii="Times New Roman" w:hAnsi="Times New Roman" w:cs="Times New Roman"/>
          <w:color w:val="ff0000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ff0000"/>
          <w:sz w:val="16"/>
          <w:szCs w:val="16"/>
          <w:highlight w:val="white"/>
        </w:rPr>
      </w:r>
    </w:p>
    <w:p>
      <w:pPr>
        <w:pStyle w:val="1153"/>
        <w:numPr>
          <w:ilvl w:val="0"/>
          <w:numId w:val="225"/>
        </w:numPr>
        <w:jc w:val="center"/>
        <w:rPr>
          <w:b/>
          <w:caps/>
          <w:strike w:val="0"/>
          <w:color w:val="000000" w:themeColor="text1"/>
          <w:sz w:val="28"/>
          <w:szCs w:val="28"/>
          <w:highlight w:val="white"/>
        </w:rPr>
      </w:pPr>
      <w:r>
        <w:rPr>
          <w:b/>
          <w:caps/>
          <w:strike w:val="0"/>
          <w:color w:val="000000" w:themeColor="text1"/>
          <w:sz w:val="28"/>
          <w:szCs w:val="28"/>
          <w:highlight w:val="white"/>
        </w:rPr>
        <w:t xml:space="preserve">ИСПОЛНЕНИЕ БЮДЖЕТА ПО ДОХОДАМ </w:t>
      </w:r>
      <w:r>
        <w:rPr>
          <w:b/>
          <w:caps/>
          <w:strike w:val="0"/>
          <w:color w:val="000000" w:themeColor="text1"/>
          <w:sz w:val="28"/>
          <w:szCs w:val="28"/>
          <w:highlight w:val="white"/>
        </w:rPr>
      </w:r>
      <w:r>
        <w:rPr>
          <w:b/>
          <w:caps/>
          <w:strike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center"/>
        <w:spacing w:line="240" w:lineRule="auto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Нал</w:t>
      </w:r>
      <w:r>
        <w:rPr>
          <w:b/>
          <w:color w:val="000000" w:themeColor="text1"/>
          <w:sz w:val="28"/>
          <w:szCs w:val="28"/>
          <w:highlight w:val="white"/>
        </w:rPr>
        <w:t xml:space="preserve">оговые доходы</w:t>
      </w:r>
      <w:r>
        <w:rPr>
          <w:color w:val="000000" w:themeColor="text1"/>
          <w:sz w:val="28"/>
          <w:szCs w:val="28"/>
          <w:highlight w:val="white"/>
        </w:rPr>
        <w:t xml:space="preserve"> поступили в бюджет города в </w:t>
      </w:r>
      <w:r>
        <w:rPr>
          <w:color w:val="000000" w:themeColor="text1"/>
          <w:sz w:val="28"/>
          <w:szCs w:val="28"/>
          <w:highlight w:val="white"/>
        </w:rPr>
        <w:t xml:space="preserve">су</w:t>
      </w:r>
      <w:r>
        <w:rPr>
          <w:color w:val="000000" w:themeColor="text1"/>
          <w:sz w:val="28"/>
          <w:szCs w:val="28"/>
          <w:highlight w:val="white"/>
        </w:rPr>
        <w:t xml:space="preserve">мме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16 255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150,9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</w:t>
      </w:r>
      <w:r>
        <w:rPr>
          <w:color w:val="000000" w:themeColor="text1"/>
          <w:sz w:val="28"/>
          <w:szCs w:val="28"/>
          <w:highlight w:val="white"/>
        </w:rPr>
        <w:t xml:space="preserve">. руб., </w:t>
      </w:r>
      <w:r>
        <w:rPr>
          <w:color w:val="000000" w:themeColor="text1"/>
          <w:sz w:val="28"/>
          <w:szCs w:val="28"/>
          <w:highlight w:val="white"/>
        </w:rPr>
        <w:t xml:space="preserve">или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97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,4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 к плану </w:t>
      </w:r>
      <w:r>
        <w:rPr>
          <w:color w:val="000000" w:themeColor="text1"/>
          <w:sz w:val="28"/>
          <w:szCs w:val="28"/>
          <w:highlight w:val="white"/>
        </w:rPr>
        <w:t xml:space="preserve">января</w:t>
      </w:r>
      <w:r>
        <w:rPr>
          <w:color w:val="000000" w:themeColor="text1"/>
          <w:sz w:val="28"/>
          <w:szCs w:val="28"/>
          <w:highlight w:val="white"/>
        </w:rPr>
        <w:t xml:space="preserve">-августа 2026 года (16</w:t>
      </w:r>
      <w:r>
        <w:rPr>
          <w:color w:val="000000" w:themeColor="text1"/>
          <w:sz w:val="28"/>
          <w:szCs w:val="28"/>
          <w:highlight w:val="white"/>
        </w:rPr>
        <w:t xml:space="preserve"> 688 787,1</w:t>
      </w:r>
      <w:r>
        <w:rPr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56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,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3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% </w:t>
      </w:r>
      <w:r>
        <w:rPr>
          <w:color w:val="000000" w:themeColor="text1"/>
          <w:sz w:val="28"/>
          <w:szCs w:val="28"/>
          <w:highlight w:val="white"/>
        </w:rPr>
        <w:t xml:space="preserve">к плану </w:t>
      </w:r>
      <w:r>
        <w:rPr>
          <w:color w:val="000000" w:themeColor="text1"/>
          <w:sz w:val="28"/>
          <w:szCs w:val="28"/>
          <w:highlight w:val="white"/>
        </w:rPr>
        <w:t xml:space="preserve">года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(</w:t>
      </w:r>
      <w:r>
        <w:rPr>
          <w:color w:val="000000" w:themeColor="text1"/>
          <w:sz w:val="28"/>
          <w:szCs w:val="28"/>
          <w:highlight w:val="white"/>
        </w:rPr>
        <w:t xml:space="preserve">28 873 554,0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тыс. руб</w:t>
      </w:r>
      <w:r>
        <w:rPr>
          <w:color w:val="000000" w:themeColor="text1"/>
          <w:sz w:val="28"/>
          <w:szCs w:val="28"/>
          <w:highlight w:val="white"/>
        </w:rPr>
        <w:t xml:space="preserve">.). 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а аналогичный период прошлого года поступления налоговых доходов составляли 15</w:t>
      </w:r>
      <w:r>
        <w:rPr>
          <w:color w:val="000000" w:themeColor="text1"/>
          <w:sz w:val="28"/>
          <w:szCs w:val="28"/>
          <w:highlight w:val="white"/>
        </w:rPr>
        <w:t xml:space="preserve"> 387 705,6</w:t>
      </w:r>
      <w:r>
        <w:rPr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</w:r>
      <w:r>
        <w:rPr>
          <w:b/>
          <w:color w:val="000000" w:themeColor="text1"/>
          <w:sz w:val="28"/>
          <w:szCs w:val="28"/>
          <w:highlight w:val="white"/>
        </w:rPr>
        <w:t xml:space="preserve">Неналоговые доходы</w:t>
      </w:r>
      <w:r>
        <w:rPr>
          <w:color w:val="000000" w:themeColor="text1"/>
          <w:sz w:val="28"/>
          <w:szCs w:val="28"/>
          <w:highlight w:val="white"/>
        </w:rPr>
        <w:t xml:space="preserve"> поступили в бюджет города в </w:t>
      </w:r>
      <w:r>
        <w:rPr>
          <w:color w:val="000000" w:themeColor="text1"/>
          <w:sz w:val="28"/>
          <w:szCs w:val="28"/>
          <w:highlight w:val="white"/>
        </w:rPr>
        <w:t xml:space="preserve">су</w:t>
      </w:r>
      <w:r>
        <w:rPr>
          <w:color w:val="000000" w:themeColor="text1"/>
          <w:sz w:val="28"/>
          <w:szCs w:val="28"/>
          <w:highlight w:val="white"/>
        </w:rPr>
        <w:t xml:space="preserve">мме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5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644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776,1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тыс. руб.,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или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108,1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 к плану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января</w:t>
      </w:r>
      <w:r>
        <w:rPr>
          <w:color w:val="000000" w:themeColor="text1"/>
          <w:sz w:val="28"/>
          <w:szCs w:val="28"/>
          <w:highlight w:val="white"/>
        </w:rPr>
        <w:t xml:space="preserve">-августа</w:t>
      </w:r>
      <w:r>
        <w:rPr>
          <w:color w:val="000000" w:themeColor="text1"/>
          <w:sz w:val="28"/>
          <w:szCs w:val="28"/>
          <w:highlight w:val="white"/>
        </w:rPr>
        <w:t xml:space="preserve"> 2026 года (5</w:t>
      </w:r>
      <w:r>
        <w:rPr>
          <w:color w:val="000000" w:themeColor="text1"/>
          <w:sz w:val="28"/>
          <w:szCs w:val="28"/>
          <w:highlight w:val="white"/>
        </w:rPr>
        <w:t xml:space="preserve"> 220 166,0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тыс. руб.)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68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,6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к плану </w:t>
      </w:r>
      <w:r>
        <w:rPr>
          <w:color w:val="000000" w:themeColor="text1"/>
          <w:sz w:val="28"/>
          <w:szCs w:val="28"/>
          <w:highlight w:val="white"/>
        </w:rPr>
        <w:t xml:space="preserve">года</w:t>
      </w:r>
      <w:r>
        <w:rPr>
          <w:color w:val="000000" w:themeColor="text1"/>
          <w:sz w:val="28"/>
          <w:szCs w:val="28"/>
          <w:highlight w:val="white"/>
        </w:rPr>
        <w:t xml:space="preserve"> (</w:t>
      </w:r>
      <w:r>
        <w:rPr>
          <w:color w:val="000000" w:themeColor="text1"/>
          <w:sz w:val="28"/>
          <w:szCs w:val="28"/>
          <w:highlight w:val="white"/>
        </w:rPr>
        <w:t xml:space="preserve">8 233 641,5</w:t>
      </w:r>
      <w:r>
        <w:rPr>
          <w:color w:val="000000" w:themeColor="text1"/>
          <w:sz w:val="28"/>
          <w:szCs w:val="28"/>
          <w:highlight w:val="white"/>
        </w:rPr>
        <w:t xml:space="preserve"> тыс. руб.). </w:t>
      </w:r>
      <w:r>
        <w:rPr>
          <w:color w:val="000000" w:themeColor="text1"/>
          <w:sz w:val="28"/>
          <w:szCs w:val="28"/>
          <w:highlight w:val="white"/>
        </w:rPr>
        <w:t xml:space="preserve">За аналогичный период прошлого год</w:t>
      </w:r>
      <w:r>
        <w:rPr>
          <w:color w:val="000000" w:themeColor="text1"/>
          <w:sz w:val="28"/>
          <w:szCs w:val="28"/>
          <w:highlight w:val="white"/>
        </w:rPr>
        <w:t xml:space="preserve">а поступления неналоговых доходов составляли</w:t>
      </w:r>
      <w:r>
        <w:rPr>
          <w:color w:val="000000" w:themeColor="text1"/>
          <w:sz w:val="28"/>
          <w:szCs w:val="28"/>
          <w:highlight w:val="white"/>
        </w:rPr>
        <w:t xml:space="preserve"> 4 990 500,3</w:t>
      </w:r>
      <w:r>
        <w:rPr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0"/>
          <w:szCs w:val="20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Вместе с тем, план </w:t>
      </w:r>
      <w:r>
        <w:rPr>
          <w:color w:val="000000" w:themeColor="text1"/>
          <w:sz w:val="28"/>
          <w:szCs w:val="28"/>
          <w:highlight w:val="white"/>
        </w:rPr>
        <w:t xml:space="preserve">по доходам от платы за проезд </w:t>
      </w:r>
      <w:r>
        <w:rPr>
          <w:color w:val="000000" w:themeColor="text1"/>
          <w:sz w:val="28"/>
          <w:szCs w:val="28"/>
          <w:highlight w:val="white"/>
        </w:rPr>
        <w:t xml:space="preserve">не исполнен на 69 179,7 тыс. руб. в связи со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снижением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объема пассажиропотока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strike w:val="0"/>
          <w:color w:val="ff0000"/>
          <w:sz w:val="28"/>
          <w:szCs w:val="28"/>
          <w:highlight w:val="white"/>
        </w:rPr>
      </w:pPr>
      <w:r>
        <w:rPr>
          <w:color w:val="ff0000"/>
          <w:sz w:val="28"/>
          <w:szCs w:val="28"/>
          <w:highlight w:val="white"/>
        </w:rPr>
      </w:r>
      <w:r>
        <w:rPr>
          <w:strike w:val="0"/>
          <w:color w:val="ff0000"/>
          <w:sz w:val="28"/>
          <w:szCs w:val="28"/>
          <w:highlight w:val="white"/>
        </w:rPr>
      </w:r>
      <w:r>
        <w:rPr>
          <w:strike w:val="0"/>
          <w:color w:val="ff0000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Безвозмездные поступления</w:t>
      </w:r>
      <w:r>
        <w:rPr>
          <w:color w:val="000000" w:themeColor="text1"/>
          <w:sz w:val="28"/>
          <w:szCs w:val="28"/>
          <w:highlight w:val="white"/>
        </w:rPr>
        <w:t xml:space="preserve"> от бюджетов других уровней поступили в сумме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18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260 415,9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ыс. руб., </w:t>
      </w:r>
      <w:r>
        <w:rPr>
          <w:color w:val="000000" w:themeColor="text1"/>
          <w:sz w:val="28"/>
          <w:szCs w:val="28"/>
          <w:highlight w:val="white"/>
        </w:rPr>
        <w:t xml:space="preserve">или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99,3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 к плану января-августа</w:t>
      </w:r>
      <w:r>
        <w:rPr>
          <w:color w:val="000000" w:themeColor="text1"/>
          <w:sz w:val="28"/>
          <w:szCs w:val="28"/>
          <w:highlight w:val="white"/>
        </w:rPr>
        <w:t xml:space="preserve"> 2026</w:t>
      </w:r>
      <w:r>
        <w:rPr>
          <w:color w:val="000000" w:themeColor="text1"/>
          <w:sz w:val="28"/>
          <w:szCs w:val="28"/>
          <w:highlight w:val="white"/>
        </w:rPr>
        <w:t xml:space="preserve"> года </w:t>
        <w:br/>
        <w:t xml:space="preserve">(18</w:t>
      </w:r>
      <w:r>
        <w:rPr>
          <w:color w:val="000000" w:themeColor="text1"/>
          <w:sz w:val="28"/>
          <w:szCs w:val="28"/>
          <w:highlight w:val="white"/>
        </w:rPr>
        <w:t xml:space="preserve"> 382 376,7 </w:t>
      </w:r>
      <w:r>
        <w:rPr>
          <w:color w:val="000000" w:themeColor="text1"/>
          <w:sz w:val="28"/>
          <w:szCs w:val="28"/>
          <w:highlight w:val="white"/>
        </w:rPr>
        <w:t xml:space="preserve">тыс.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руб.)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60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,1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% </w:t>
      </w:r>
      <w:r>
        <w:rPr>
          <w:color w:val="000000" w:themeColor="text1"/>
          <w:sz w:val="28"/>
          <w:szCs w:val="28"/>
          <w:highlight w:val="white"/>
        </w:rPr>
        <w:t xml:space="preserve">к плану года (30</w:t>
      </w:r>
      <w:r>
        <w:rPr>
          <w:color w:val="000000" w:themeColor="text1"/>
          <w:sz w:val="28"/>
          <w:szCs w:val="28"/>
          <w:highlight w:val="white"/>
        </w:rPr>
        <w:t xml:space="preserve"> 360 846,8</w:t>
      </w:r>
      <w:r>
        <w:rPr>
          <w:color w:val="000000" w:themeColor="text1"/>
          <w:sz w:val="28"/>
          <w:szCs w:val="28"/>
          <w:highlight w:val="white"/>
        </w:rPr>
        <w:t xml:space="preserve"> тыс. р</w:t>
      </w:r>
      <w:r>
        <w:rPr>
          <w:color w:val="000000" w:themeColor="text1"/>
          <w:sz w:val="28"/>
          <w:szCs w:val="28"/>
          <w:highlight w:val="white"/>
        </w:rPr>
        <w:t xml:space="preserve">уб.).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 аналогичный период прошлого года поступления составляли 15</w:t>
      </w:r>
      <w:r>
        <w:rPr>
          <w:color w:val="000000" w:themeColor="text1"/>
          <w:sz w:val="28"/>
          <w:szCs w:val="28"/>
          <w:highlight w:val="white"/>
        </w:rPr>
        <w:t xml:space="preserve"> 996 199,4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тыс. руб</w:t>
      </w:r>
      <w:r>
        <w:rPr>
          <w:color w:val="000000" w:themeColor="text1"/>
          <w:sz w:val="28"/>
          <w:szCs w:val="28"/>
          <w:highlight w:val="white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0"/>
        <w:jc w:val="left"/>
        <w:spacing w:line="240" w:lineRule="auto"/>
        <w:tabs>
          <w:tab w:val="left" w:pos="709" w:leader="none"/>
        </w:tabs>
        <w:rPr>
          <w:color w:val="ff0000"/>
          <w:sz w:val="28"/>
          <w:szCs w:val="28"/>
          <w:highlight w:val="white"/>
        </w:rPr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ind w:firstLine="709"/>
        <w:jc w:val="center"/>
        <w:spacing w:line="240" w:lineRule="auto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Анализ исполнения плана по доходам за январь</w:t>
      </w:r>
      <w:r>
        <w:rPr>
          <w:color w:val="000000" w:themeColor="text1"/>
          <w:sz w:val="28"/>
          <w:szCs w:val="28"/>
          <w:highlight w:val="white"/>
        </w:rPr>
        <w:t xml:space="preserve">-август 2026 года по осно</w:t>
      </w:r>
      <w:r>
        <w:rPr>
          <w:color w:val="000000" w:themeColor="text1"/>
          <w:sz w:val="28"/>
          <w:szCs w:val="28"/>
          <w:highlight w:val="white"/>
        </w:rPr>
        <w:t xml:space="preserve">вным </w:t>
      </w:r>
      <w:r>
        <w:rPr>
          <w:color w:val="000000" w:themeColor="text1"/>
          <w:sz w:val="28"/>
          <w:szCs w:val="28"/>
          <w:highlight w:val="white"/>
        </w:rPr>
        <w:t xml:space="preserve">бюджетообразующим</w:t>
      </w:r>
      <w:r>
        <w:rPr>
          <w:color w:val="000000" w:themeColor="text1"/>
          <w:sz w:val="28"/>
          <w:szCs w:val="28"/>
          <w:highlight w:val="white"/>
        </w:rPr>
        <w:t xml:space="preserve"> поступлениям выглядит следующим образом: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0"/>
        <w:spacing w:line="240" w:lineRule="auto"/>
        <w:tabs>
          <w:tab w:val="left" w:pos="709" w:leader="none"/>
        </w:tabs>
        <w:rPr>
          <w:color w:val="ff0000"/>
          <w:sz w:val="28"/>
          <w:highlight w:val="white"/>
        </w:rPr>
      </w:pPr>
      <w:r>
        <w:rPr>
          <w:color w:val="ff0000"/>
          <w:sz w:val="28"/>
          <w:highlight w:val="white"/>
        </w:rPr>
      </w:r>
      <w:r>
        <w:rPr>
          <w:color w:val="ff0000"/>
          <w:sz w:val="28"/>
          <w:highlight w:val="white"/>
        </w:rPr>
      </w:r>
      <w:r>
        <w:rPr>
          <w:color w:val="ff0000"/>
          <w:sz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auto"/>
          <w:sz w:val="28"/>
          <w:szCs w:val="28"/>
          <w:highlight w:val="white"/>
          <w14:ligatures w14:val="none"/>
        </w:rPr>
      </w:pPr>
      <w:r>
        <w:rPr>
          <w:iCs/>
          <w:color w:val="auto"/>
          <w:sz w:val="28"/>
          <w:szCs w:val="28"/>
          <w:highlight w:val="white"/>
        </w:rPr>
        <w:t xml:space="preserve">По </w:t>
      </w:r>
      <w:r>
        <w:rPr>
          <w:b/>
          <w:iCs/>
          <w:color w:val="auto"/>
          <w:sz w:val="28"/>
          <w:szCs w:val="28"/>
          <w:highlight w:val="white"/>
        </w:rPr>
        <w:t xml:space="preserve">налогу на доходы физических лиц </w:t>
      </w:r>
      <w:r>
        <w:rPr>
          <w:iCs/>
          <w:color w:val="auto"/>
          <w:sz w:val="28"/>
          <w:szCs w:val="28"/>
          <w:highlight w:val="white"/>
        </w:rPr>
        <w:t xml:space="preserve">фактическое поступление </w:t>
      </w:r>
      <w:r>
        <w:rPr>
          <w:b w:val="0"/>
          <w:bCs w:val="0"/>
          <w:iCs/>
          <w:color w:val="auto"/>
          <w:sz w:val="28"/>
          <w:szCs w:val="28"/>
          <w:highlight w:val="white"/>
        </w:rPr>
        <w:t xml:space="preserve">составил</w:t>
      </w:r>
      <w:r>
        <w:rPr>
          <w:b w:val="0"/>
          <w:bCs w:val="0"/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 12 767 623,7</w:t>
      </w:r>
      <w:r>
        <w:rPr>
          <w:iCs/>
          <w:color w:val="auto"/>
          <w:sz w:val="28"/>
          <w:szCs w:val="28"/>
          <w:highlight w:val="white"/>
        </w:rPr>
        <w:t xml:space="preserve"> тыс. руб.</w:t>
      </w:r>
      <w:r>
        <w:rPr>
          <w:iCs/>
          <w:color w:val="auto"/>
          <w:sz w:val="28"/>
          <w:szCs w:val="28"/>
          <w:highlight w:val="white"/>
        </w:rPr>
        <w:t xml:space="preserve">,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или</w:t>
      </w:r>
      <w:r>
        <w:rPr>
          <w:iCs/>
          <w:color w:val="auto"/>
          <w:sz w:val="28"/>
          <w:szCs w:val="28"/>
          <w:highlight w:val="white"/>
        </w:rPr>
        <w:t xml:space="preserve"> 97,5%</w:t>
      </w:r>
      <w:r>
        <w:rPr>
          <w:iCs/>
          <w:color w:val="auto"/>
          <w:sz w:val="28"/>
          <w:szCs w:val="28"/>
          <w:highlight w:val="white"/>
        </w:rPr>
        <w:t xml:space="preserve"> к</w:t>
      </w:r>
      <w:r>
        <w:rPr>
          <w:iCs/>
          <w:color w:val="auto"/>
          <w:sz w:val="28"/>
          <w:szCs w:val="28"/>
          <w:highlight w:val="white"/>
        </w:rPr>
        <w:t xml:space="preserve"> плану отчетного периода (13 091 990,5</w:t>
      </w:r>
      <w:r>
        <w:rPr>
          <w:iCs/>
          <w:color w:val="auto"/>
          <w:sz w:val="28"/>
          <w:szCs w:val="28"/>
          <w:highlight w:val="white"/>
        </w:rPr>
        <w:t xml:space="preserve"> тыс. руб.) и 58,5</w:t>
      </w:r>
      <w:r>
        <w:rPr>
          <w:color w:val="auto"/>
          <w:sz w:val="28"/>
          <w:szCs w:val="28"/>
          <w:highlight w:val="white"/>
        </w:rPr>
        <w:t xml:space="preserve">%</w:t>
      </w:r>
      <w:r>
        <w:rPr>
          <w:iCs/>
          <w:color w:val="auto"/>
          <w:sz w:val="28"/>
          <w:szCs w:val="28"/>
          <w:highlight w:val="white"/>
        </w:rPr>
        <w:t xml:space="preserve"> к</w:t>
      </w:r>
      <w:r>
        <w:rPr>
          <w:color w:val="auto"/>
          <w:sz w:val="28"/>
          <w:szCs w:val="28"/>
          <w:highlight w:val="white"/>
        </w:rPr>
        <w:t xml:space="preserve"> уточненному плану года (</w:t>
      </w:r>
      <w:r>
        <w:rPr>
          <w:color w:val="auto"/>
          <w:sz w:val="28"/>
          <w:szCs w:val="28"/>
          <w:highlight w:val="white"/>
        </w:rPr>
        <w:t xml:space="preserve">21 827 600,0 тыс. руб.).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  <w14:ligatures w14:val="none"/>
        </w:rPr>
      </w:r>
      <w:r>
        <w:rPr>
          <w:color w:val="auto"/>
          <w:sz w:val="28"/>
          <w:szCs w:val="28"/>
          <w:highlight w:val="white"/>
          <w14:ligatures w14:val="none"/>
        </w:rPr>
      </w:r>
    </w:p>
    <w:p>
      <w:pPr>
        <w:ind w:firstLine="709"/>
        <w:spacing w:line="240" w:lineRule="auto"/>
        <w:rPr>
          <w:color w:val="000000" w:themeColor="text1"/>
          <w:sz w:val="28"/>
          <w:szCs w:val="28"/>
          <w:highlight w:val="white"/>
          <w14:ligatures w14:val="non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еполное </w:t>
      </w:r>
      <w:r>
        <w:rPr>
          <w:color w:val="000000" w:themeColor="text1"/>
          <w:sz w:val="28"/>
          <w:szCs w:val="28"/>
          <w:highlight w:val="white"/>
        </w:rPr>
        <w:t xml:space="preserve">исполнение плана отчетного периода обусловлено недостижением запланированного темпа роста по НДФЛ, уплачиваемому с дохода</w:t>
      </w:r>
      <w:r>
        <w:rPr>
          <w:color w:val="000000" w:themeColor="text1"/>
          <w:sz w:val="28"/>
          <w:szCs w:val="28"/>
          <w:highlight w:val="white"/>
        </w:rPr>
        <w:t xml:space="preserve">, превышающего 2,4 миллиона рублей, и</w:t>
      </w:r>
      <w:r>
        <w:rPr>
          <w:color w:val="000000" w:themeColor="text1"/>
          <w:sz w:val="28"/>
          <w:szCs w:val="28"/>
          <w:highlight w:val="white"/>
        </w:rPr>
        <w:t xml:space="preserve"> физическими лицами по декларациям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  <w14:ligatures w14:val="none"/>
        </w:rPr>
      </w:r>
      <w:r>
        <w:rPr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firstLine="709"/>
        <w:spacing w:line="240" w:lineRule="auto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  <w:t xml:space="preserve">Относител</w:t>
      </w:r>
      <w:r>
        <w:rPr>
          <w:color w:val="auto"/>
          <w:sz w:val="28"/>
          <w:szCs w:val="28"/>
          <w:highlight w:val="white"/>
        </w:rPr>
        <w:t xml:space="preserve">ьно аналогичного периода прошлого года поступления составили </w:t>
      </w:r>
      <w:r>
        <w:rPr>
          <w:color w:val="auto"/>
          <w:sz w:val="28"/>
          <w:szCs w:val="28"/>
          <w:highlight w:val="white"/>
        </w:rPr>
        <w:t xml:space="preserve">110,3%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color w:val="ff0000"/>
          <w:sz w:val="28"/>
          <w:szCs w:val="28"/>
          <w:highlight w:val="white"/>
        </w:rPr>
      </w:pPr>
      <w:r>
        <w:rPr>
          <w:iCs/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iCs/>
          <w:color w:val="auto"/>
          <w:sz w:val="28"/>
          <w:szCs w:val="28"/>
          <w:highlight w:val="white"/>
        </w:rPr>
        <w:t xml:space="preserve">По</w:t>
      </w:r>
      <w:r>
        <w:rPr>
          <w:b/>
          <w:iCs/>
          <w:color w:val="auto"/>
          <w:sz w:val="28"/>
          <w:szCs w:val="28"/>
          <w:highlight w:val="white"/>
        </w:rPr>
        <w:t xml:space="preserve"> туристическому налогу </w:t>
      </w:r>
      <w:r>
        <w:rPr>
          <w:iCs/>
          <w:color w:val="auto"/>
          <w:sz w:val="28"/>
          <w:szCs w:val="28"/>
          <w:highlight w:val="white"/>
        </w:rPr>
        <w:t xml:space="preserve">фактичес</w:t>
      </w:r>
      <w:r>
        <w:rPr>
          <w:iCs/>
          <w:color w:val="auto"/>
          <w:sz w:val="28"/>
          <w:szCs w:val="28"/>
          <w:highlight w:val="white"/>
        </w:rPr>
        <w:t xml:space="preserve">кое поступление составило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30 855,0</w:t>
      </w:r>
      <w:r>
        <w:rPr>
          <w:iCs/>
          <w:color w:val="auto"/>
          <w:sz w:val="28"/>
          <w:szCs w:val="28"/>
          <w:highlight w:val="white"/>
        </w:rPr>
        <w:t xml:space="preserve"> тыс. руб., или </w:t>
      </w:r>
      <w:r>
        <w:rPr>
          <w:iCs/>
          <w:color w:val="auto"/>
          <w:sz w:val="28"/>
          <w:szCs w:val="28"/>
          <w:highlight w:val="white"/>
        </w:rPr>
        <w:t xml:space="preserve">113,4%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к плану отчетного периода (27 200,0 тыс.руб.) </w:t>
      </w:r>
      <w:r>
        <w:rPr>
          <w:rFonts w:eastAsia="Calibri"/>
          <w:color w:val="auto"/>
          <w:sz w:val="28"/>
          <w:szCs w:val="28"/>
          <w:highlight w:val="white"/>
        </w:rPr>
        <w:t xml:space="preserve">и</w:t>
      </w:r>
      <w:r>
        <w:rPr>
          <w:rFonts w:eastAsia="Calibri"/>
          <w:color w:val="auto"/>
          <w:sz w:val="28"/>
          <w:szCs w:val="28"/>
          <w:highlight w:val="white"/>
        </w:rPr>
        <w:t xml:space="preserve"> 80,4% к плану года (38 381,0 тыс. руб.</w:t>
      </w:r>
      <w:r>
        <w:rPr>
          <w:rFonts w:eastAsia="Calibri"/>
          <w:color w:val="auto"/>
          <w:sz w:val="28"/>
          <w:szCs w:val="28"/>
          <w:highlight w:val="white"/>
        </w:rPr>
        <w:t xml:space="preserve">)</w:t>
      </w:r>
      <w:r>
        <w:rPr>
          <w:iCs/>
          <w:color w:val="auto"/>
          <w:sz w:val="28"/>
          <w:szCs w:val="28"/>
          <w:highlight w:val="white"/>
        </w:rPr>
        <w:t xml:space="preserve">.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Относительно аналогичного периода прошлого года поступления увеличились</w:t>
      </w:r>
      <w:r>
        <w:rPr>
          <w:color w:val="auto"/>
          <w:sz w:val="28"/>
          <w:szCs w:val="28"/>
          <w:highlight w:val="white"/>
        </w:rPr>
        <w:t xml:space="preserve"> в</w:t>
      </w:r>
      <w:r>
        <w:rPr>
          <w:color w:val="auto"/>
          <w:sz w:val="28"/>
          <w:szCs w:val="28"/>
          <w:highlight w:val="white"/>
        </w:rPr>
        <w:t xml:space="preserve"> 1,6 раза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color w:val="ff0000"/>
          <w:sz w:val="28"/>
          <w:szCs w:val="28"/>
          <w:highlight w:val="white"/>
          <w14:ligatures w14:val="none"/>
        </w:rP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  <w:t xml:space="preserve">Пере</w:t>
      </w:r>
      <w:r>
        <w:rPr>
          <w:color w:val="auto"/>
          <w:sz w:val="28"/>
          <w:szCs w:val="28"/>
          <w:highlight w:val="white"/>
        </w:rPr>
        <w:t xml:space="preserve">выполнение плана </w:t>
      </w:r>
      <w:r>
        <w:rPr>
          <w:color w:val="auto"/>
          <w:sz w:val="28"/>
          <w:szCs w:val="28"/>
          <w:highlight w:val="white"/>
        </w:rPr>
        <w:t xml:space="preserve">отчетного периода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обусловлено</w:t>
      </w:r>
      <w:r>
        <w:rPr>
          <w:color w:val="auto"/>
          <w:sz w:val="28"/>
          <w:szCs w:val="28"/>
          <w:highlight w:val="white"/>
        </w:rPr>
        <w:t xml:space="preserve"> увеличением суммы исчисленного налога за 4 квартал</w:t>
      </w:r>
      <w:r>
        <w:rPr>
          <w:color w:val="auto"/>
          <w:sz w:val="28"/>
          <w:szCs w:val="28"/>
          <w:highlight w:val="white"/>
        </w:rPr>
        <w:t xml:space="preserve"> 2025 года. </w:t>
      </w:r>
      <w:r>
        <w:rPr>
          <w:color w:val="ff0000"/>
          <w:sz w:val="28"/>
          <w:szCs w:val="28"/>
          <w:highlight w:val="white"/>
          <w14:ligatures w14:val="none"/>
        </w:rPr>
      </w:r>
      <w:r>
        <w:rPr>
          <w:color w:val="ff0000"/>
          <w:sz w:val="28"/>
          <w:szCs w:val="28"/>
          <w:highlight w:val="white"/>
          <w14:ligatures w14:val="none"/>
        </w:rPr>
      </w:r>
    </w:p>
    <w:p>
      <w:pPr>
        <w:ind w:firstLine="851"/>
        <w:jc w:val="both"/>
        <w:rPr>
          <w:color w:val="ff0000"/>
          <w:sz w:val="28"/>
          <w:szCs w:val="28"/>
          <w:highlight w:val="white"/>
        </w:rPr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iCs/>
          <w:color w:val="auto"/>
          <w:sz w:val="28"/>
          <w:szCs w:val="28"/>
          <w:highlight w:val="white"/>
        </w:rPr>
        <w:t xml:space="preserve">По</w:t>
      </w:r>
      <w:r>
        <w:rPr>
          <w:b/>
          <w:iCs/>
          <w:color w:val="auto"/>
          <w:sz w:val="28"/>
          <w:szCs w:val="28"/>
          <w:highlight w:val="white"/>
        </w:rPr>
        <w:t xml:space="preserve"> налогу, взимаемому в связи с применением упрощенной системы налогообложения, </w:t>
      </w:r>
      <w:r>
        <w:rPr>
          <w:iCs/>
          <w:color w:val="auto"/>
          <w:sz w:val="28"/>
          <w:szCs w:val="28"/>
          <w:highlight w:val="white"/>
        </w:rPr>
        <w:t xml:space="preserve">фактичес</w:t>
      </w:r>
      <w:r>
        <w:rPr>
          <w:iCs/>
          <w:color w:val="auto"/>
          <w:sz w:val="28"/>
          <w:szCs w:val="28"/>
          <w:highlight w:val="white"/>
        </w:rPr>
        <w:t xml:space="preserve">кое поступление составило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956 261,6</w:t>
      </w:r>
      <w:r>
        <w:rPr>
          <w:iCs/>
          <w:color w:val="auto"/>
          <w:sz w:val="28"/>
          <w:szCs w:val="28"/>
          <w:highlight w:val="white"/>
        </w:rPr>
        <w:t xml:space="preserve"> тыс. руб., </w:t>
      </w:r>
      <w:r>
        <w:rPr>
          <w:color w:val="auto"/>
          <w:sz w:val="28"/>
          <w:szCs w:val="28"/>
          <w:highlight w:val="white"/>
        </w:rPr>
        <w:t xml:space="preserve">или </w:t>
      </w:r>
      <w:r>
        <w:rPr>
          <w:color w:val="auto"/>
          <w:sz w:val="28"/>
          <w:szCs w:val="28"/>
          <w:highlight w:val="white"/>
        </w:rPr>
        <w:t xml:space="preserve">96,5% </w:t>
      </w:r>
      <w:r>
        <w:rPr>
          <w:color w:val="auto"/>
          <w:sz w:val="28"/>
          <w:szCs w:val="28"/>
          <w:highlight w:val="white"/>
        </w:rPr>
        <w:t xml:space="preserve">к плану отчетного периода</w:t>
      </w:r>
      <w:r>
        <w:rPr>
          <w:iCs/>
          <w:color w:val="auto"/>
          <w:sz w:val="28"/>
          <w:szCs w:val="28"/>
          <w:highlight w:val="white"/>
        </w:rPr>
        <w:t xml:space="preserve"> (991 200,0</w:t>
      </w:r>
      <w:r>
        <w:rPr>
          <w:iCs/>
          <w:color w:val="auto"/>
          <w:sz w:val="28"/>
          <w:szCs w:val="28"/>
          <w:highlight w:val="white"/>
        </w:rPr>
        <w:t xml:space="preserve"> тыс. руб.) и</w:t>
      </w:r>
      <w:r>
        <w:rPr>
          <w:iCs/>
          <w:color w:val="auto"/>
          <w:sz w:val="28"/>
          <w:szCs w:val="28"/>
          <w:highlight w:val="white"/>
        </w:rPr>
        <w:t xml:space="preserve"> 72,5% </w:t>
      </w:r>
      <w:r>
        <w:rPr>
          <w:iCs/>
          <w:color w:val="auto"/>
          <w:sz w:val="28"/>
          <w:szCs w:val="28"/>
          <w:highlight w:val="white"/>
        </w:rPr>
        <w:t xml:space="preserve">к</w:t>
      </w:r>
      <w:r>
        <w:rPr>
          <w:iCs/>
          <w:color w:val="auto"/>
          <w:sz w:val="28"/>
          <w:szCs w:val="28"/>
          <w:highlight w:val="white"/>
        </w:rPr>
        <w:t xml:space="preserve"> плану года </w:t>
        <w:br/>
        <w:t xml:space="preserve">(1 319 195</w:t>
      </w:r>
      <w:r>
        <w:rPr>
          <w:iCs/>
          <w:color w:val="auto"/>
          <w:sz w:val="28"/>
          <w:szCs w:val="28"/>
          <w:highlight w:val="white"/>
        </w:rPr>
        <w:t xml:space="preserve">,1</w:t>
      </w:r>
      <w:r>
        <w:rPr>
          <w:iCs/>
          <w:color w:val="auto"/>
          <w:sz w:val="28"/>
          <w:szCs w:val="28"/>
          <w:highlight w:val="white"/>
        </w:rPr>
        <w:t xml:space="preserve"> тыс. руб.). </w:t>
      </w:r>
      <w:r>
        <w:rPr>
          <w:iCs/>
          <w:color w:val="auto"/>
          <w:sz w:val="28"/>
          <w:szCs w:val="28"/>
          <w:highlight w:val="white"/>
        </w:rPr>
        <w:t xml:space="preserve">Отн</w:t>
      </w:r>
      <w:r>
        <w:rPr>
          <w:iCs/>
          <w:color w:val="auto"/>
          <w:sz w:val="28"/>
          <w:szCs w:val="28"/>
          <w:highlight w:val="white"/>
        </w:rPr>
        <w:t xml:space="preserve">осительно аналогично</w:t>
      </w:r>
      <w:r>
        <w:rPr>
          <w:iCs/>
          <w:color w:val="auto"/>
          <w:sz w:val="28"/>
          <w:szCs w:val="28"/>
          <w:highlight w:val="white"/>
        </w:rPr>
        <w:t xml:space="preserve">го периода прошлого года поступления составил</w:t>
      </w:r>
      <w:r>
        <w:rPr>
          <w:iCs/>
          <w:color w:val="auto"/>
          <w:sz w:val="28"/>
          <w:szCs w:val="28"/>
          <w:highlight w:val="white"/>
        </w:rPr>
        <w:t xml:space="preserve">и </w:t>
      </w:r>
      <w:r>
        <w:rPr>
          <w:iCs/>
          <w:color w:val="auto"/>
          <w:sz w:val="28"/>
          <w:szCs w:val="28"/>
          <w:highlight w:val="white"/>
        </w:rPr>
        <w:t xml:space="preserve">102,8%</w:t>
      </w:r>
      <w:r>
        <w:rPr>
          <w:iCs/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  <w:t xml:space="preserve">П</w:t>
      </w:r>
      <w:r>
        <w:rPr>
          <w:color w:val="auto"/>
          <w:sz w:val="28"/>
          <w:szCs w:val="28"/>
          <w:highlight w:val="white"/>
        </w:rPr>
        <w:t xml:space="preserve">о данным главного администратора – Управления Федеральной налоговой службы по Пермскому краю, </w:t>
      </w:r>
      <w:r>
        <w:rPr>
          <w:color w:val="auto"/>
          <w:sz w:val="28"/>
          <w:szCs w:val="28"/>
          <w:highlight w:val="white"/>
        </w:rPr>
        <w:t xml:space="preserve">на </w:t>
      </w:r>
      <w:r>
        <w:rPr>
          <w:color w:val="auto"/>
          <w:sz w:val="28"/>
          <w:szCs w:val="28"/>
          <w:highlight w:val="white"/>
        </w:rPr>
        <w:t xml:space="preserve">неполное исполнение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п</w:t>
      </w:r>
      <w:r>
        <w:rPr>
          <w:color w:val="auto"/>
          <w:sz w:val="28"/>
          <w:szCs w:val="28"/>
          <w:highlight w:val="white"/>
        </w:rPr>
        <w:t xml:space="preserve">л</w:t>
      </w:r>
      <w:r>
        <w:rPr>
          <w:color w:val="auto"/>
          <w:sz w:val="28"/>
          <w:szCs w:val="28"/>
          <w:highlight w:val="white"/>
        </w:rPr>
        <w:t xml:space="preserve">а</w:t>
      </w:r>
      <w:r>
        <w:rPr>
          <w:color w:val="auto"/>
          <w:sz w:val="28"/>
          <w:szCs w:val="28"/>
          <w:highlight w:val="white"/>
        </w:rPr>
        <w:t xml:space="preserve">н</w:t>
      </w:r>
      <w:r>
        <w:rPr>
          <w:color w:val="auto"/>
          <w:sz w:val="28"/>
          <w:szCs w:val="28"/>
          <w:highlight w:val="white"/>
        </w:rPr>
        <w:t xml:space="preserve">а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отчетного периода</w:t>
      </w:r>
      <w:r>
        <w:rPr>
          <w:color w:val="auto"/>
          <w:sz w:val="28"/>
          <w:szCs w:val="28"/>
          <w:highlight w:val="white"/>
        </w:rPr>
        <w:t xml:space="preserve"> повлияло снижение </w:t>
      </w:r>
      <w:r>
        <w:rPr>
          <w:color w:val="auto"/>
          <w:sz w:val="28"/>
          <w:szCs w:val="28"/>
          <w:highlight w:val="white"/>
        </w:rPr>
        <w:t xml:space="preserve">количества индивидуальных предпринимателей и юридических лиц, применяющих упрощенную систему на</w:t>
      </w:r>
      <w:r>
        <w:rPr>
          <w:color w:val="auto"/>
          <w:sz w:val="28"/>
          <w:szCs w:val="28"/>
          <w:highlight w:val="white"/>
        </w:rPr>
        <w:t xml:space="preserve">логообложения, в связи с переходом </w:t>
      </w:r>
      <w:r>
        <w:rPr>
          <w:color w:val="auto"/>
          <w:sz w:val="28"/>
          <w:szCs w:val="28"/>
          <w:highlight w:val="white"/>
        </w:rPr>
        <w:t xml:space="preserve">плательщиков </w:t>
      </w:r>
      <w:r>
        <w:rPr>
          <w:color w:val="auto"/>
          <w:sz w:val="28"/>
          <w:szCs w:val="28"/>
          <w:highlight w:val="white"/>
        </w:rPr>
        <w:t xml:space="preserve">на применение АУСН</w:t>
      </w:r>
      <w:r>
        <w:rPr>
          <w:strike w:val="0"/>
          <w:color w:val="auto"/>
          <w:sz w:val="28"/>
          <w:szCs w:val="28"/>
          <w:highlight w:val="white"/>
        </w:rPr>
        <w:t xml:space="preserve"> </w:t>
      </w:r>
      <w:r>
        <w:rPr>
          <w:strike w:val="0"/>
          <w:color w:val="auto"/>
          <w:sz w:val="28"/>
          <w:szCs w:val="28"/>
          <w:highlight w:val="white"/>
        </w:rPr>
        <w:t xml:space="preserve">и </w:t>
      </w:r>
      <w:r>
        <w:rPr>
          <w:strike w:val="0"/>
          <w:color w:val="auto"/>
          <w:sz w:val="28"/>
          <w:szCs w:val="28"/>
          <w:highlight w:val="white"/>
        </w:rPr>
        <w:t xml:space="preserve">н</w:t>
      </w:r>
      <w:r>
        <w:rPr>
          <w:strike w:val="0"/>
          <w:color w:val="auto"/>
          <w:sz w:val="28"/>
          <w:szCs w:val="28"/>
          <w:highlight w:val="white"/>
        </w:rPr>
        <w:t xml:space="preserve">а</w:t>
      </w:r>
      <w:r>
        <w:rPr>
          <w:strike w:val="0"/>
          <w:color w:val="auto"/>
          <w:sz w:val="28"/>
          <w:szCs w:val="28"/>
          <w:highlight w:val="white"/>
        </w:rPr>
        <w:t xml:space="preserve"> </w:t>
      </w:r>
      <w:r>
        <w:rPr>
          <w:strike w:val="0"/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бщую систему налогообложения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851"/>
        <w:spacing w:line="240" w:lineRule="auto"/>
        <w:rPr>
          <w:color w:val="ff0000"/>
          <w:sz w:val="28"/>
          <w:szCs w:val="28"/>
          <w:highlight w:val="white"/>
        </w:rPr>
      </w:pPr>
      <w:r>
        <w:rPr>
          <w:iCs/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ind w:firstLine="851"/>
        <w:spacing w:line="240" w:lineRule="auto"/>
        <w:rPr>
          <w:color w:val="auto"/>
          <w:sz w:val="28"/>
          <w:szCs w:val="28"/>
          <w:highlight w:val="white"/>
        </w:rPr>
      </w:pPr>
      <w:r>
        <w:rPr>
          <w:iCs/>
          <w:color w:val="auto"/>
          <w:sz w:val="28"/>
          <w:szCs w:val="28"/>
          <w:highlight w:val="white"/>
        </w:rPr>
      </w:r>
      <w:r>
        <w:rPr>
          <w:iCs/>
          <w:color w:val="auto"/>
          <w:sz w:val="28"/>
          <w:szCs w:val="28"/>
          <w:highlight w:val="white"/>
        </w:rPr>
        <w:t xml:space="preserve">По </w:t>
      </w:r>
      <w:r>
        <w:rPr>
          <w:b/>
          <w:iCs/>
          <w:color w:val="auto"/>
          <w:sz w:val="28"/>
          <w:szCs w:val="28"/>
          <w:highlight w:val="white"/>
        </w:rPr>
        <w:t xml:space="preserve">налогу, взимаемому в связи с применением патентной системы налогообложения,</w:t>
      </w:r>
      <w:r>
        <w:rPr>
          <w:iCs/>
          <w:color w:val="auto"/>
          <w:sz w:val="28"/>
          <w:szCs w:val="28"/>
          <w:highlight w:val="white"/>
        </w:rPr>
        <w:t xml:space="preserve"> фактическое поступление составило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165 259,5</w:t>
      </w:r>
      <w:r>
        <w:rPr>
          <w:iCs/>
          <w:color w:val="auto"/>
          <w:sz w:val="28"/>
          <w:szCs w:val="28"/>
          <w:highlight w:val="white"/>
        </w:rPr>
        <w:t xml:space="preserve"> тыс. руб., или </w:t>
      </w:r>
      <w:r>
        <w:rPr>
          <w:iCs/>
          <w:color w:val="auto"/>
          <w:sz w:val="28"/>
          <w:szCs w:val="28"/>
          <w:highlight w:val="white"/>
        </w:rPr>
        <w:t xml:space="preserve">96,5% </w:t>
      </w:r>
      <w:r>
        <w:rPr>
          <w:iCs/>
          <w:color w:val="auto"/>
          <w:sz w:val="28"/>
          <w:szCs w:val="28"/>
          <w:highlight w:val="white"/>
        </w:rPr>
        <w:t xml:space="preserve">к плану от</w:t>
      </w:r>
      <w:r>
        <w:rPr>
          <w:iCs/>
          <w:color w:val="auto"/>
          <w:sz w:val="28"/>
          <w:szCs w:val="28"/>
          <w:highlight w:val="white"/>
        </w:rPr>
        <w:t xml:space="preserve">четного периода (</w:t>
      </w:r>
      <w:r>
        <w:rPr>
          <w:iCs/>
          <w:color w:val="auto"/>
          <w:sz w:val="28"/>
          <w:szCs w:val="28"/>
          <w:highlight w:val="white"/>
        </w:rPr>
        <w:t xml:space="preserve">171 215,6</w:t>
      </w:r>
      <w:r>
        <w:rPr>
          <w:iCs/>
          <w:color w:val="auto"/>
          <w:sz w:val="28"/>
          <w:szCs w:val="28"/>
          <w:highlight w:val="white"/>
        </w:rPr>
        <w:t xml:space="preserve"> тыс. руб.) и 37,0</w:t>
      </w:r>
      <w:r>
        <w:rPr>
          <w:iCs/>
          <w:color w:val="auto"/>
          <w:sz w:val="28"/>
          <w:szCs w:val="28"/>
          <w:highlight w:val="white"/>
        </w:rPr>
        <w:t xml:space="preserve">% </w:t>
      </w:r>
      <w:r>
        <w:rPr>
          <w:iCs/>
          <w:color w:val="auto"/>
          <w:sz w:val="28"/>
          <w:szCs w:val="28"/>
          <w:highlight w:val="white"/>
        </w:rPr>
        <w:t xml:space="preserve">к</w:t>
      </w:r>
      <w:r>
        <w:rPr>
          <w:iCs/>
          <w:color w:val="auto"/>
          <w:sz w:val="28"/>
          <w:szCs w:val="28"/>
          <w:highlight w:val="white"/>
        </w:rPr>
        <w:t xml:space="preserve"> пл</w:t>
      </w:r>
      <w:r>
        <w:rPr>
          <w:iCs/>
          <w:color w:val="auto"/>
          <w:sz w:val="28"/>
          <w:szCs w:val="28"/>
          <w:highlight w:val="white"/>
        </w:rPr>
        <w:t xml:space="preserve">ану года </w:t>
        <w:br/>
        <w:t xml:space="preserve">(446 509,8 тыс. руб.). </w:t>
      </w:r>
      <w:r>
        <w:rPr>
          <w:iCs/>
          <w:color w:val="auto"/>
          <w:sz w:val="28"/>
          <w:szCs w:val="28"/>
          <w:highlight w:val="white"/>
        </w:rPr>
        <w:t xml:space="preserve">Относительно аналогичного периода прошлого года поступления состави</w:t>
      </w:r>
      <w:r>
        <w:rPr>
          <w:iCs/>
          <w:color w:val="auto"/>
          <w:sz w:val="28"/>
          <w:szCs w:val="28"/>
          <w:highlight w:val="white"/>
        </w:rPr>
        <w:t xml:space="preserve">ли </w:t>
      </w:r>
      <w:r>
        <w:rPr>
          <w:iCs/>
          <w:color w:val="auto"/>
          <w:sz w:val="28"/>
          <w:szCs w:val="28"/>
          <w:highlight w:val="white"/>
        </w:rPr>
        <w:t xml:space="preserve">48,8%. 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left="0" w:right="0" w:firstLine="709"/>
        <w:jc w:val="both"/>
        <w:widowControl w:val="off"/>
        <w:rPr>
          <w:strike/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iCs/>
          <w:color w:val="auto"/>
          <w:sz w:val="28"/>
          <w:szCs w:val="28"/>
          <w:highlight w:val="white"/>
        </w:rPr>
        <w:t xml:space="preserve">Неполное ис</w:t>
      </w:r>
      <w:r>
        <w:rPr>
          <w:iCs/>
          <w:color w:val="auto"/>
          <w:sz w:val="28"/>
          <w:szCs w:val="28"/>
          <w:highlight w:val="white"/>
        </w:rPr>
        <w:t xml:space="preserve">полнение</w:t>
      </w:r>
      <w:r>
        <w:rPr>
          <w:iCs/>
          <w:color w:val="auto"/>
          <w:sz w:val="28"/>
          <w:szCs w:val="28"/>
          <w:highlight w:val="white"/>
        </w:rPr>
        <w:t xml:space="preserve"> плана</w:t>
      </w:r>
      <w:r>
        <w:rPr>
          <w:iCs/>
          <w:color w:val="auto"/>
          <w:sz w:val="28"/>
          <w:szCs w:val="28"/>
          <w:highlight w:val="white"/>
        </w:rPr>
        <w:t xml:space="preserve"> отчетного периода обусловлено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у</w:t>
      </w:r>
      <w:r>
        <w:rPr>
          <w:iCs/>
          <w:color w:val="auto"/>
          <w:sz w:val="28"/>
          <w:szCs w:val="28"/>
          <w:highlight w:val="white"/>
        </w:rPr>
        <w:t xml:space="preserve">м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ь</w:t>
      </w:r>
      <w:r>
        <w:rPr>
          <w:iCs/>
          <w:color w:val="auto"/>
          <w:sz w:val="28"/>
          <w:szCs w:val="28"/>
          <w:highlight w:val="white"/>
        </w:rPr>
        <w:t xml:space="preserve">ш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и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м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к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л</w:t>
      </w:r>
      <w:r>
        <w:rPr>
          <w:iCs/>
          <w:color w:val="auto"/>
          <w:sz w:val="28"/>
          <w:szCs w:val="28"/>
          <w:highlight w:val="white"/>
        </w:rPr>
        <w:t xml:space="preserve">и</w:t>
      </w:r>
      <w:r>
        <w:rPr>
          <w:iCs/>
          <w:color w:val="auto"/>
          <w:sz w:val="28"/>
          <w:szCs w:val="28"/>
          <w:highlight w:val="white"/>
        </w:rPr>
        <w:t xml:space="preserve">ч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с</w:t>
      </w:r>
      <w:r>
        <w:rPr>
          <w:iCs/>
          <w:color w:val="auto"/>
          <w:sz w:val="28"/>
          <w:szCs w:val="28"/>
          <w:highlight w:val="white"/>
        </w:rPr>
        <w:t xml:space="preserve">т</w:t>
      </w:r>
      <w:r>
        <w:rPr>
          <w:iCs/>
          <w:color w:val="auto"/>
          <w:sz w:val="28"/>
          <w:szCs w:val="28"/>
          <w:highlight w:val="white"/>
        </w:rPr>
        <w:t xml:space="preserve">в</w:t>
      </w:r>
      <w:r>
        <w:rPr>
          <w:iCs/>
          <w:color w:val="auto"/>
          <w:sz w:val="28"/>
          <w:szCs w:val="28"/>
          <w:highlight w:val="white"/>
        </w:rPr>
        <w:t xml:space="preserve">а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в</w:t>
      </w:r>
      <w:r>
        <w:rPr>
          <w:iCs/>
          <w:color w:val="auto"/>
          <w:sz w:val="28"/>
          <w:szCs w:val="28"/>
          <w:highlight w:val="white"/>
        </w:rPr>
        <w:t xml:space="preserve">ы</w:t>
      </w:r>
      <w:r>
        <w:rPr>
          <w:iCs/>
          <w:color w:val="auto"/>
          <w:sz w:val="28"/>
          <w:szCs w:val="28"/>
          <w:highlight w:val="white"/>
        </w:rPr>
        <w:t xml:space="preserve">д</w:t>
      </w:r>
      <w:r>
        <w:rPr>
          <w:iCs/>
          <w:color w:val="auto"/>
          <w:sz w:val="28"/>
          <w:szCs w:val="28"/>
          <w:highlight w:val="white"/>
        </w:rPr>
        <w:t xml:space="preserve">а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ы</w:t>
      </w:r>
      <w:r>
        <w:rPr>
          <w:iCs/>
          <w:color w:val="auto"/>
          <w:sz w:val="28"/>
          <w:szCs w:val="28"/>
          <w:highlight w:val="white"/>
        </w:rPr>
        <w:t xml:space="preserve">х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п</w:t>
      </w:r>
      <w:r>
        <w:rPr>
          <w:iCs/>
          <w:color w:val="auto"/>
          <w:sz w:val="28"/>
          <w:szCs w:val="28"/>
          <w:highlight w:val="white"/>
        </w:rPr>
        <w:t xml:space="preserve">а</w:t>
      </w:r>
      <w:r>
        <w:rPr>
          <w:iCs/>
          <w:color w:val="auto"/>
          <w:sz w:val="28"/>
          <w:szCs w:val="28"/>
          <w:highlight w:val="white"/>
        </w:rPr>
        <w:t xml:space="preserve">т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т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в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т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с</w:t>
      </w:r>
      <w:r>
        <w:rPr>
          <w:iCs/>
          <w:color w:val="auto"/>
          <w:sz w:val="28"/>
          <w:szCs w:val="28"/>
          <w:highlight w:val="white"/>
        </w:rPr>
        <w:t xml:space="preserve">и</w:t>
      </w:r>
      <w:r>
        <w:rPr>
          <w:iCs/>
          <w:color w:val="auto"/>
          <w:sz w:val="28"/>
          <w:szCs w:val="28"/>
          <w:highlight w:val="white"/>
        </w:rPr>
        <w:t xml:space="preserve">т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л</w:t>
      </w:r>
      <w:r>
        <w:rPr>
          <w:iCs/>
          <w:color w:val="auto"/>
          <w:sz w:val="28"/>
          <w:szCs w:val="28"/>
          <w:highlight w:val="white"/>
        </w:rPr>
        <w:t xml:space="preserve">ь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а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а</w:t>
      </w:r>
      <w:r>
        <w:rPr>
          <w:iCs/>
          <w:color w:val="auto"/>
          <w:sz w:val="28"/>
          <w:szCs w:val="28"/>
          <w:highlight w:val="white"/>
        </w:rPr>
        <w:t xml:space="preserve">л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г</w:t>
      </w:r>
      <w:r>
        <w:rPr>
          <w:iCs/>
          <w:color w:val="auto"/>
          <w:sz w:val="28"/>
          <w:szCs w:val="28"/>
          <w:highlight w:val="white"/>
        </w:rPr>
        <w:t xml:space="preserve">и</w:t>
      </w:r>
      <w:r>
        <w:rPr>
          <w:iCs/>
          <w:color w:val="auto"/>
          <w:sz w:val="28"/>
          <w:szCs w:val="28"/>
          <w:highlight w:val="white"/>
        </w:rPr>
        <w:t xml:space="preserve">ч</w:t>
      </w:r>
      <w:r>
        <w:rPr>
          <w:iCs/>
          <w:color w:val="auto"/>
          <w:sz w:val="28"/>
          <w:szCs w:val="28"/>
          <w:highlight w:val="white"/>
        </w:rPr>
        <w:t xml:space="preserve">н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г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п</w:t>
      </w:r>
      <w:r>
        <w:rPr>
          <w:iCs/>
          <w:color w:val="auto"/>
          <w:sz w:val="28"/>
          <w:szCs w:val="28"/>
          <w:highlight w:val="white"/>
        </w:rPr>
        <w:t xml:space="preserve">е</w:t>
      </w:r>
      <w:r>
        <w:rPr>
          <w:iCs/>
          <w:color w:val="auto"/>
          <w:sz w:val="28"/>
          <w:szCs w:val="28"/>
          <w:highlight w:val="white"/>
        </w:rPr>
        <w:t xml:space="preserve">р</w:t>
      </w:r>
      <w:r>
        <w:rPr>
          <w:iCs/>
          <w:color w:val="auto"/>
          <w:sz w:val="28"/>
          <w:szCs w:val="28"/>
          <w:highlight w:val="white"/>
        </w:rPr>
        <w:t xml:space="preserve">и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д</w:t>
      </w:r>
      <w:r>
        <w:rPr>
          <w:iCs/>
          <w:color w:val="auto"/>
          <w:sz w:val="28"/>
          <w:szCs w:val="28"/>
          <w:highlight w:val="white"/>
        </w:rPr>
        <w:t xml:space="preserve">а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2</w:t>
      </w:r>
      <w:r>
        <w:rPr>
          <w:iCs/>
          <w:color w:val="auto"/>
          <w:sz w:val="28"/>
          <w:szCs w:val="28"/>
          <w:highlight w:val="white"/>
        </w:rPr>
        <w:t xml:space="preserve">0</w:t>
      </w:r>
      <w:r>
        <w:rPr>
          <w:iCs/>
          <w:color w:val="auto"/>
          <w:sz w:val="28"/>
          <w:szCs w:val="28"/>
          <w:highlight w:val="white"/>
        </w:rPr>
        <w:t xml:space="preserve">2</w:t>
      </w:r>
      <w:r>
        <w:rPr>
          <w:iCs/>
          <w:color w:val="auto"/>
          <w:sz w:val="28"/>
          <w:szCs w:val="28"/>
          <w:highlight w:val="white"/>
        </w:rPr>
        <w:t xml:space="preserve">5</w:t>
      </w:r>
      <w:r>
        <w:rPr>
          <w:iCs/>
          <w:color w:val="auto"/>
          <w:sz w:val="28"/>
          <w:szCs w:val="28"/>
          <w:highlight w:val="white"/>
        </w:rPr>
        <w:t xml:space="preserve"> </w:t>
      </w:r>
      <w:r>
        <w:rPr>
          <w:iCs/>
          <w:color w:val="auto"/>
          <w:sz w:val="28"/>
          <w:szCs w:val="28"/>
          <w:highlight w:val="white"/>
        </w:rPr>
        <w:t xml:space="preserve">г</w:t>
      </w:r>
      <w:r>
        <w:rPr>
          <w:iCs/>
          <w:color w:val="auto"/>
          <w:sz w:val="28"/>
          <w:szCs w:val="28"/>
          <w:highlight w:val="white"/>
        </w:rPr>
        <w:t xml:space="preserve">о</w:t>
      </w:r>
      <w:r>
        <w:rPr>
          <w:iCs/>
          <w:color w:val="auto"/>
          <w:sz w:val="28"/>
          <w:szCs w:val="28"/>
          <w:highlight w:val="white"/>
        </w:rPr>
        <w:t xml:space="preserve">д</w:t>
      </w:r>
      <w:r>
        <w:rPr>
          <w:iCs/>
          <w:color w:val="auto"/>
          <w:sz w:val="28"/>
          <w:szCs w:val="28"/>
          <w:highlight w:val="white"/>
        </w:rPr>
        <w:t xml:space="preserve">а.</w:t>
      </w:r>
      <w:r>
        <w:rPr>
          <w:strike/>
          <w:color w:val="auto"/>
          <w:sz w:val="28"/>
          <w:szCs w:val="28"/>
          <w:highlight w:val="white"/>
        </w:rPr>
      </w:r>
      <w:r>
        <w:rPr>
          <w:strike/>
          <w:color w:val="auto"/>
          <w:sz w:val="28"/>
          <w:szCs w:val="28"/>
          <w:highlight w:val="whit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color w:val="ff0000"/>
          <w:sz w:val="28"/>
          <w:szCs w:val="28"/>
          <w:highlight w:val="white"/>
        </w:rPr>
        <w:suppressLineNumbers w:val="0"/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iCs/>
          <w:color w:val="000000" w:themeColor="text1"/>
          <w:sz w:val="28"/>
          <w:szCs w:val="28"/>
          <w:highlight w:val="white"/>
        </w:rPr>
        <w:suppressLineNumbers w:val="0"/>
      </w:pPr>
      <w:r>
        <w:rPr>
          <w:b w:val="0"/>
          <w:bCs w:val="0"/>
          <w:iCs/>
          <w:color w:val="000000" w:themeColor="text1"/>
          <w:sz w:val="28"/>
          <w:szCs w:val="28"/>
          <w:highlight w:val="white"/>
        </w:rPr>
        <w:t xml:space="preserve">П</w:t>
      </w:r>
      <w:r>
        <w:rPr>
          <w:b w:val="0"/>
          <w:bCs w:val="0"/>
          <w:iCs/>
          <w:color w:val="000000" w:themeColor="text1"/>
          <w:sz w:val="28"/>
          <w:szCs w:val="28"/>
          <w:highlight w:val="white"/>
        </w:rPr>
        <w:t xml:space="preserve">о </w:t>
      </w:r>
      <w:r>
        <w:rPr>
          <w:b/>
          <w:iCs/>
          <w:color w:val="000000" w:themeColor="text1"/>
          <w:sz w:val="28"/>
          <w:szCs w:val="28"/>
          <w:highlight w:val="white"/>
        </w:rPr>
        <w:t xml:space="preserve">налогу </w:t>
      </w:r>
      <w:r>
        <w:rPr>
          <w:b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b/>
          <w:iCs/>
          <w:color w:val="000000" w:themeColor="text1"/>
          <w:sz w:val="28"/>
          <w:szCs w:val="28"/>
          <w:highlight w:val="white"/>
        </w:rPr>
        <w:t xml:space="preserve">а имущес</w:t>
      </w:r>
      <w:r>
        <w:rPr>
          <w:b/>
          <w:iCs/>
          <w:color w:val="000000" w:themeColor="text1"/>
          <w:sz w:val="28"/>
          <w:szCs w:val="28"/>
          <w:highlight w:val="white"/>
        </w:rPr>
        <w:t xml:space="preserve">тво ф</w:t>
      </w:r>
      <w:r>
        <w:rPr>
          <w:b/>
          <w:iCs/>
          <w:color w:val="000000" w:themeColor="text1"/>
          <w:sz w:val="28"/>
          <w:szCs w:val="28"/>
          <w:highlight w:val="white"/>
        </w:rPr>
        <w:t xml:space="preserve">изических лиц </w:t>
      </w:r>
      <w:r>
        <w:rPr>
          <w:iCs/>
          <w:color w:val="000000" w:themeColor="text1"/>
          <w:sz w:val="28"/>
          <w:szCs w:val="28"/>
          <w:highlight w:val="white"/>
        </w:rPr>
        <w:t xml:space="preserve">поступление составило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95 611,0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тыс.</w:t>
      </w:r>
      <w:r>
        <w:rPr>
          <w:iCs/>
          <w:color w:val="000000" w:themeColor="text1"/>
          <w:sz w:val="28"/>
          <w:szCs w:val="28"/>
          <w:highlight w:val="white"/>
        </w:rPr>
        <w:t xml:space="preserve"> руб.</w:t>
      </w:r>
      <w:r>
        <w:rPr>
          <w:iCs/>
          <w:color w:val="000000" w:themeColor="text1"/>
          <w:sz w:val="28"/>
          <w:szCs w:val="28"/>
          <w:highlight w:val="white"/>
        </w:rPr>
        <w:t xml:space="preserve">,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или 54,9</w:t>
      </w:r>
      <w:r>
        <w:rPr>
          <w:iCs/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к </w:t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л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ну </w:t>
      </w:r>
      <w:r>
        <w:rPr>
          <w:color w:val="000000" w:themeColor="text1"/>
          <w:sz w:val="28"/>
          <w:szCs w:val="28"/>
          <w:highlight w:val="white"/>
        </w:rPr>
        <w:t xml:space="preserve">отчетного пе</w:t>
      </w:r>
      <w:r>
        <w:rPr>
          <w:color w:val="000000" w:themeColor="text1"/>
          <w:sz w:val="28"/>
          <w:szCs w:val="28"/>
          <w:highlight w:val="white"/>
        </w:rPr>
        <w:t xml:space="preserve">рио</w:t>
      </w:r>
      <w:r>
        <w:rPr>
          <w:color w:val="000000" w:themeColor="text1"/>
          <w:sz w:val="28"/>
          <w:szCs w:val="28"/>
          <w:highlight w:val="white"/>
        </w:rPr>
        <w:t xml:space="preserve">да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174 000,0</w:t>
      </w:r>
      <w:r>
        <w:rPr>
          <w:iCs/>
          <w:color w:val="000000" w:themeColor="text1"/>
          <w:sz w:val="28"/>
          <w:szCs w:val="28"/>
          <w:highlight w:val="white"/>
        </w:rPr>
        <w:t xml:space="preserve"> тыс. руб.)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и 5,1% к плану год</w:t>
      </w:r>
      <w:r>
        <w:rPr>
          <w:iCs/>
          <w:color w:val="000000" w:themeColor="text1"/>
          <w:sz w:val="28"/>
          <w:szCs w:val="28"/>
          <w:highlight w:val="white"/>
        </w:rPr>
        <w:t xml:space="preserve">а (1 866 643,8 тыс. руб.</w:t>
      </w:r>
      <w:r>
        <w:rPr>
          <w:iCs/>
          <w:color w:val="000000" w:themeColor="text1"/>
          <w:sz w:val="28"/>
          <w:szCs w:val="28"/>
          <w:highlight w:val="white"/>
        </w:rPr>
        <w:t xml:space="preserve">)</w:t>
      </w:r>
      <w:r>
        <w:rPr>
          <w:iCs/>
          <w:color w:val="000000" w:themeColor="text1"/>
          <w:sz w:val="28"/>
          <w:szCs w:val="28"/>
          <w:highlight w:val="white"/>
        </w:rPr>
        <w:t xml:space="preserve">. </w:t>
      </w:r>
      <w:r>
        <w:rPr>
          <w:color w:val="000000" w:themeColor="text1"/>
          <w:highlight w:val="white"/>
        </w:rPr>
        <w:t xml:space="preserve">П</w:t>
      </w:r>
      <w:r>
        <w:rPr>
          <w:iCs/>
          <w:color w:val="000000" w:themeColor="text1"/>
          <w:sz w:val="28"/>
          <w:szCs w:val="28"/>
          <w:highlight w:val="white"/>
        </w:rPr>
        <w:t xml:space="preserve">ри отсутствии срока уплаты поступили платежи в счет погаше</w:t>
      </w:r>
      <w:r>
        <w:rPr>
          <w:iCs/>
          <w:color w:val="000000" w:themeColor="text1"/>
          <w:sz w:val="28"/>
          <w:szCs w:val="28"/>
          <w:highlight w:val="white"/>
        </w:rPr>
        <w:t xml:space="preserve">ния задолженности</w:t>
      </w:r>
      <w:r>
        <w:rPr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составили 35,2</w:t>
      </w:r>
      <w:r>
        <w:rPr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iCs/>
          <w:color w:val="000000" w:themeColor="text1"/>
          <w:sz w:val="28"/>
          <w:szCs w:val="28"/>
          <w:highlight w:val="white"/>
        </w:rPr>
      </w:r>
      <w:r>
        <w:rPr>
          <w:iCs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iCs/>
          <w:color w:val="000000" w:themeColor="text1"/>
          <w:sz w:val="28"/>
          <w:szCs w:val="28"/>
          <w:highlight w:val="white"/>
        </w:rPr>
        <w:suppressLineNumbers w:val="0"/>
      </w:pPr>
      <w:r>
        <w:rPr>
          <w:iCs/>
          <w:color w:val="000000" w:themeColor="text1"/>
          <w:sz w:val="28"/>
          <w:szCs w:val="28"/>
          <w:highlight w:val="white"/>
        </w:rPr>
      </w:r>
      <w:r>
        <w:rPr>
          <w:iCs/>
          <w:color w:val="000000" w:themeColor="text1"/>
          <w:sz w:val="28"/>
          <w:szCs w:val="28"/>
          <w:highlight w:val="white"/>
        </w:rPr>
        <w:t xml:space="preserve">Неисполнение плана отчетного периода обусловлено отсутствием  начислений по налогу у </w:t>
      </w:r>
      <w:r>
        <w:rPr>
          <w:iCs/>
          <w:color w:val="000000" w:themeColor="text1"/>
          <w:sz w:val="28"/>
          <w:szCs w:val="28"/>
          <w:highlight w:val="white"/>
        </w:rPr>
        <w:t xml:space="preserve">налогоплательщиков</w:t>
      </w:r>
      <w:r>
        <w:rPr>
          <w:iCs/>
          <w:color w:val="000000" w:themeColor="text1"/>
          <w:sz w:val="28"/>
          <w:szCs w:val="28"/>
          <w:highlight w:val="white"/>
        </w:rPr>
        <w:t xml:space="preserve"> о</w:t>
      </w:r>
      <w:r>
        <w:rPr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iCs/>
          <w:color w:val="000000" w:themeColor="text1"/>
          <w:sz w:val="28"/>
          <w:szCs w:val="28"/>
          <w:highlight w:val="white"/>
        </w:rPr>
        <w:t xml:space="preserve">с</w:t>
      </w:r>
      <w:r>
        <w:rPr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iCs/>
          <w:color w:val="000000" w:themeColor="text1"/>
          <w:sz w:val="28"/>
          <w:szCs w:val="28"/>
          <w:highlight w:val="white"/>
        </w:rPr>
        <w:t xml:space="preserve">л</w:t>
      </w:r>
      <w:r>
        <w:rPr>
          <w:iCs/>
          <w:color w:val="000000" w:themeColor="text1"/>
          <w:sz w:val="28"/>
          <w:szCs w:val="28"/>
          <w:highlight w:val="white"/>
        </w:rPr>
        <w:t xml:space="preserve">ь</w:t>
      </w:r>
      <w:r>
        <w:rPr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iCs/>
          <w:color w:val="000000" w:themeColor="text1"/>
          <w:sz w:val="28"/>
          <w:szCs w:val="28"/>
          <w:highlight w:val="white"/>
        </w:rPr>
        <w:t xml:space="preserve">л</w:t>
      </w:r>
      <w:r>
        <w:rPr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iCs/>
          <w:color w:val="000000" w:themeColor="text1"/>
          <w:sz w:val="28"/>
          <w:szCs w:val="28"/>
          <w:highlight w:val="white"/>
        </w:rPr>
        <w:t xml:space="preserve">г</w:t>
      </w:r>
      <w:r>
        <w:rPr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iCs/>
          <w:color w:val="000000" w:themeColor="text1"/>
          <w:sz w:val="28"/>
          <w:szCs w:val="28"/>
          <w:highlight w:val="white"/>
        </w:rPr>
        <w:t xml:space="preserve">чного периода 2025 года.</w:t>
      </w:r>
      <w:r>
        <w:rPr>
          <w:iCs/>
          <w:color w:val="000000" w:themeColor="text1"/>
          <w:sz w:val="28"/>
          <w:szCs w:val="28"/>
          <w:highlight w:val="white"/>
        </w:rPr>
      </w:r>
      <w:r>
        <w:rPr>
          <w:iCs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iCs/>
          <w:color w:val="000000" w:themeColor="text1"/>
          <w:sz w:val="28"/>
          <w:szCs w:val="28"/>
          <w:highlight w:val="white"/>
        </w:rPr>
        <w:t xml:space="preserve">По</w:t>
      </w:r>
      <w:r>
        <w:rPr>
          <w:b/>
          <w:iCs/>
          <w:color w:val="000000" w:themeColor="text1"/>
          <w:sz w:val="28"/>
          <w:szCs w:val="28"/>
          <w:highlight w:val="white"/>
        </w:rPr>
        <w:t xml:space="preserve"> земельному налогу</w:t>
      </w:r>
      <w:r>
        <w:rPr>
          <w:color w:val="000000" w:themeColor="text1"/>
          <w:sz w:val="28"/>
          <w:szCs w:val="28"/>
          <w:highlight w:val="white"/>
        </w:rPr>
        <w:t xml:space="preserve"> фактическое поступление составило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1 743 375,7</w:t>
      </w:r>
      <w:r>
        <w:rPr>
          <w:color w:val="000000" w:themeColor="text1"/>
          <w:sz w:val="28"/>
          <w:szCs w:val="28"/>
          <w:highlight w:val="white"/>
        </w:rPr>
        <w:t xml:space="preserve"> тыс. руб., или 99,5</w:t>
      </w:r>
      <w:r>
        <w:rPr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 к плану отчетного периода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1 751 500,0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тыс. руб.) и 66,3% к плану года (2 628 818,0 тыс. руб.)</w:t>
      </w:r>
      <w:r>
        <w:rPr>
          <w:color w:val="000000" w:themeColor="text1"/>
          <w:sz w:val="28"/>
          <w:szCs w:val="28"/>
          <w:highlight w:val="white"/>
        </w:rPr>
        <w:t xml:space="preserve">. </w:t>
      </w:r>
      <w:r>
        <w:rPr>
          <w:iCs/>
          <w:color w:val="000000" w:themeColor="text1"/>
          <w:sz w:val="28"/>
          <w:szCs w:val="28"/>
          <w:highlight w:val="white"/>
        </w:rPr>
        <w:t xml:space="preserve">Относительно аналогично</w:t>
      </w:r>
      <w:r>
        <w:rPr>
          <w:iCs/>
          <w:color w:val="000000" w:themeColor="text1"/>
          <w:sz w:val="28"/>
          <w:szCs w:val="28"/>
          <w:highlight w:val="white"/>
        </w:rPr>
        <w:t xml:space="preserve">го периода прошлого года поступления составили 98,6%.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ff0000"/>
          <w:sz w:val="28"/>
          <w:szCs w:val="28"/>
          <w:highlight w:val="white"/>
        </w:rPr>
        <w:suppressLineNumbers w:val="0"/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color w:val="000000" w:themeColor="text1"/>
          <w:sz w:val="28"/>
          <w:szCs w:val="28"/>
          <w:highlight w:val="white"/>
        </w:rPr>
        <w:t xml:space="preserve">Доходы, полу</w:t>
      </w:r>
      <w:r>
        <w:rPr>
          <w:b/>
          <w:color w:val="000000" w:themeColor="text1"/>
          <w:sz w:val="28"/>
          <w:szCs w:val="28"/>
          <w:highlight w:val="white"/>
        </w:rPr>
        <w:t xml:space="preserve">чаемые в виде арендной платы за земельные участки, государственная собственность на которые не разграничена, и которые расположены в границах городских округов, а также средства от продажи права на заключение договоров аренды указанных земельных участков,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поступили в сумме 329 934,3</w:t>
      </w:r>
      <w:r>
        <w:rPr>
          <w:color w:val="000000" w:themeColor="text1"/>
          <w:sz w:val="28"/>
          <w:szCs w:val="28"/>
          <w:highlight w:val="white"/>
        </w:rPr>
        <w:t xml:space="preserve"> тыс. руб., что на 11,8% больше плана отчетного периода</w:t>
      </w:r>
      <w:r>
        <w:rPr>
          <w:color w:val="000000" w:themeColor="text1"/>
          <w:sz w:val="28"/>
          <w:szCs w:val="28"/>
          <w:highlight w:val="white"/>
        </w:rPr>
        <w:t xml:space="preserve"> (295 235,5 тыс. руб.) </w:t>
      </w:r>
      <w:r>
        <w:rPr>
          <w:color w:val="000000" w:themeColor="text1"/>
          <w:sz w:val="28"/>
          <w:szCs w:val="28"/>
          <w:highlight w:val="white"/>
        </w:rPr>
        <w:t xml:space="preserve">и составляет 73,6% к плану года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(448</w:t>
      </w:r>
      <w:r>
        <w:rPr>
          <w:color w:val="000000" w:themeColor="text1"/>
          <w:sz w:val="28"/>
          <w:szCs w:val="28"/>
          <w:highlight w:val="white"/>
        </w:rPr>
        <w:t xml:space="preserve"> 312,9</w:t>
      </w:r>
      <w:r>
        <w:rPr>
          <w:color w:val="000000" w:themeColor="text1"/>
          <w:sz w:val="28"/>
          <w:szCs w:val="28"/>
          <w:highlight w:val="white"/>
        </w:rPr>
        <w:t xml:space="preserve"> тыс. </w:t>
      </w:r>
      <w:r>
        <w:rPr>
          <w:color w:val="000000" w:themeColor="text1"/>
          <w:sz w:val="28"/>
          <w:szCs w:val="28"/>
          <w:highlight w:val="white"/>
        </w:rPr>
        <w:t xml:space="preserve">ру</w:t>
      </w:r>
      <w:r>
        <w:rPr>
          <w:color w:val="000000" w:themeColor="text1"/>
          <w:sz w:val="28"/>
          <w:szCs w:val="28"/>
          <w:highlight w:val="white"/>
        </w:rPr>
        <w:t xml:space="preserve">б.)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увеличились на 7,0% (на 21 618,9</w:t>
      </w:r>
      <w:r>
        <w:rPr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color w:val="000000" w:themeColor="text1"/>
          <w:sz w:val="28"/>
          <w:szCs w:val="28"/>
          <w:highlight w:val="white"/>
        </w:rPr>
        <w:t xml:space="preserve">за счет средств от продажи права на заключение договоров аренды земельных участков на </w:t>
      </w:r>
      <w:r>
        <w:rPr>
          <w:color w:val="000000" w:themeColor="text1"/>
          <w:sz w:val="28"/>
          <w:szCs w:val="28"/>
          <w:highlight w:val="white"/>
        </w:rPr>
        <w:t xml:space="preserve">торгах.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доходы от арендной платы за земельные участки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поступили в сумме 168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 380,4</w:t>
      </w:r>
      <w:r>
        <w:rPr>
          <w:color w:val="000000" w:themeColor="text1"/>
          <w:sz w:val="28"/>
          <w:szCs w:val="28"/>
          <w:highlight w:val="white"/>
        </w:rPr>
        <w:t xml:space="preserve"> тыс. руб., что составляет</w:t>
      </w:r>
      <w:r>
        <w:rPr>
          <w:color w:val="000000" w:themeColor="text1"/>
          <w:sz w:val="28"/>
          <w:szCs w:val="28"/>
          <w:highlight w:val="white"/>
        </w:rPr>
        <w:t xml:space="preserve"> 92,4% к плану отчетного периода </w:t>
        <w:br/>
        <w:t xml:space="preserve">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182 140,0</w:t>
      </w:r>
      <w:r>
        <w:rPr>
          <w:color w:val="000000" w:themeColor="text1"/>
          <w:sz w:val="28"/>
          <w:szCs w:val="28"/>
          <w:highlight w:val="white"/>
        </w:rPr>
        <w:t xml:space="preserve"> тыс. руб.</w:t>
      </w:r>
      <w:r>
        <w:rPr>
          <w:color w:val="000000" w:themeColor="text1"/>
          <w:sz w:val="28"/>
          <w:szCs w:val="28"/>
          <w:highlight w:val="white"/>
        </w:rPr>
        <w:t xml:space="preserve">) </w:t>
      </w:r>
      <w:r>
        <w:rPr>
          <w:iCs/>
          <w:color w:val="000000" w:themeColor="text1"/>
          <w:sz w:val="28"/>
          <w:szCs w:val="28"/>
          <w:highlight w:val="white"/>
        </w:rPr>
        <w:t xml:space="preserve">и 54,9</w:t>
      </w:r>
      <w:r>
        <w:rPr>
          <w:color w:val="000000" w:themeColor="text1"/>
          <w:sz w:val="28"/>
          <w:szCs w:val="28"/>
          <w:highlight w:val="white"/>
        </w:rPr>
        <w:t xml:space="preserve">%</w:t>
      </w:r>
      <w:r>
        <w:rPr>
          <w:iCs/>
          <w:color w:val="000000" w:themeColor="text1"/>
          <w:sz w:val="28"/>
          <w:szCs w:val="28"/>
          <w:highlight w:val="white"/>
        </w:rPr>
        <w:t xml:space="preserve"> к</w:t>
      </w:r>
      <w:r>
        <w:rPr>
          <w:color w:val="000000" w:themeColor="text1"/>
          <w:sz w:val="28"/>
          <w:szCs w:val="28"/>
          <w:highlight w:val="white"/>
        </w:rPr>
        <w:t xml:space="preserve"> плану года (</w:t>
      </w:r>
      <w:r>
        <w:rPr>
          <w:color w:val="000000" w:themeColor="text1"/>
          <w:sz w:val="28"/>
          <w:szCs w:val="28"/>
          <w:highlight w:val="white"/>
        </w:rPr>
        <w:t xml:space="preserve">306 696,2 тыс. руб.)</w:t>
      </w:r>
      <w:r>
        <w:rPr>
          <w:color w:val="000000" w:themeColor="text1"/>
          <w:sz w:val="28"/>
          <w:szCs w:val="28"/>
          <w:highlight w:val="white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л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99,5</w:t>
      </w:r>
      <w:r>
        <w:rPr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Неисполнение планового задания связано с осуществлением возвратов денежных средств в сумме 2 208,5 тыс. руб, а также с ухудшением платежной дисциплины арендаторов земельных участков;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i/>
          <w:color w:val="000000" w:themeColor="text1"/>
          <w:sz w:val="28"/>
          <w:szCs w:val="28"/>
          <w:highlight w:val="white"/>
        </w:rPr>
        <w:t xml:space="preserve">-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средства от реализации права на заключение до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говоров аренды земельных участков</w:t>
      </w:r>
      <w:r>
        <w:rPr>
          <w:color w:val="000000" w:themeColor="text1"/>
          <w:sz w:val="28"/>
          <w:szCs w:val="28"/>
          <w:highlight w:val="white"/>
        </w:rPr>
        <w:t xml:space="preserve"> 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161 553,9</w:t>
      </w:r>
      <w:r>
        <w:rPr>
          <w:color w:val="000000" w:themeColor="text1"/>
          <w:sz w:val="28"/>
          <w:szCs w:val="28"/>
          <w:highlight w:val="white"/>
        </w:rPr>
        <w:t xml:space="preserve"> тыс. </w:t>
      </w:r>
      <w:r>
        <w:rPr>
          <w:color w:val="000000" w:themeColor="text1"/>
          <w:sz w:val="28"/>
          <w:szCs w:val="28"/>
          <w:highlight w:val="white"/>
        </w:rPr>
        <w:t xml:space="preserve">руб.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что на 42,8% больше плана отчетного периода (113 095,5</w:t>
      </w:r>
      <w:r>
        <w:rPr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color w:val="000000" w:themeColor="text1"/>
          <w:sz w:val="28"/>
          <w:szCs w:val="28"/>
          <w:highlight w:val="white"/>
        </w:rPr>
        <w:t xml:space="preserve">и составляет 114,1% к уточненному </w:t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лану года (141 616,7 тыс. руб.).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Перевыполнение плана сложилось в результате увеличения ежегодного размера арендной платы п</w:t>
      </w:r>
      <w:r>
        <w:rPr>
          <w:color w:val="000000" w:themeColor="text1"/>
          <w:sz w:val="28"/>
          <w:szCs w:val="28"/>
          <w:highlight w:val="white"/>
        </w:rPr>
        <w:t xml:space="preserve">о итогам состоявшихся торгов.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b/>
          <w:bCs/>
          <w:color w:val="ff0000"/>
          <w:sz w:val="28"/>
          <w:szCs w:val="28"/>
          <w:highlight w:val="white"/>
        </w:rPr>
        <w:suppressLineNumbers w:val="0"/>
      </w:pPr>
      <w:r>
        <w:rPr>
          <w:b/>
          <w:bCs/>
          <w:color w:val="ff0000"/>
          <w:sz w:val="28"/>
          <w:szCs w:val="28"/>
          <w:highlight w:val="white"/>
        </w:rPr>
      </w:r>
      <w:r>
        <w:rPr>
          <w:b/>
          <w:bCs/>
          <w:color w:val="ff0000"/>
          <w:sz w:val="28"/>
          <w:szCs w:val="28"/>
          <w:highlight w:val="white"/>
        </w:rPr>
      </w:r>
      <w:r>
        <w:rPr>
          <w:b/>
          <w:bCs/>
          <w:color w:val="ff0000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color w:val="000000" w:themeColor="text1"/>
          <w:sz w:val="28"/>
          <w:szCs w:val="28"/>
          <w:highlight w:val="white"/>
        </w:rPr>
        <w:t xml:space="preserve">Доходы, получаемые в виде арендной платы </w:t>
      </w:r>
      <w:r>
        <w:rPr>
          <w:b/>
          <w:color w:val="000000" w:themeColor="text1"/>
          <w:sz w:val="28"/>
          <w:szCs w:val="28"/>
          <w:highlight w:val="white"/>
        </w:rPr>
        <w:t xml:space="preserve">за земли, находящиеся </w:t>
      </w:r>
      <w:r>
        <w:rPr>
          <w:b/>
          <w:color w:val="000000" w:themeColor="text1"/>
          <w:sz w:val="28"/>
          <w:szCs w:val="28"/>
          <w:highlight w:val="white"/>
        </w:rPr>
        <w:t xml:space="preserve">в собственности городских округов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b/>
          <w:color w:val="000000" w:themeColor="text1"/>
          <w:sz w:val="28"/>
          <w:szCs w:val="28"/>
          <w:highlight w:val="white"/>
        </w:rPr>
        <w:t xml:space="preserve"> а</w:t>
      </w:r>
      <w:r>
        <w:rPr>
          <w:b/>
          <w:color w:val="000000" w:themeColor="text1"/>
          <w:sz w:val="28"/>
          <w:szCs w:val="28"/>
          <w:highlight w:val="white"/>
        </w:rPr>
        <w:t xml:space="preserve"> также средства от продажи права на заключение договоров аренды указанных земельных участков,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поступили в сумме 58</w:t>
      </w:r>
      <w:r>
        <w:rPr>
          <w:color w:val="000000" w:themeColor="text1"/>
          <w:sz w:val="28"/>
          <w:szCs w:val="28"/>
          <w:highlight w:val="white"/>
        </w:rPr>
        <w:t xml:space="preserve"> 097,3</w:t>
      </w:r>
      <w:r>
        <w:rPr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color w:val="000000" w:themeColor="text1"/>
          <w:sz w:val="28"/>
          <w:szCs w:val="28"/>
          <w:highlight w:val="white"/>
        </w:rPr>
        <w:t xml:space="preserve">, что составляет 62,7% к  плану отчетного периода</w:t>
      </w:r>
      <w:r>
        <w:rPr>
          <w:color w:val="000000" w:themeColor="text1"/>
          <w:sz w:val="28"/>
          <w:szCs w:val="28"/>
          <w:highlight w:val="white"/>
        </w:rPr>
        <w:t xml:space="preserve"> (92 721,5</w:t>
      </w:r>
      <w:r>
        <w:rPr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color w:val="000000" w:themeColor="text1"/>
          <w:sz w:val="28"/>
          <w:szCs w:val="28"/>
          <w:highlight w:val="white"/>
        </w:rPr>
        <w:t xml:space="preserve">и 40,2% к плану года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(144</w:t>
      </w:r>
      <w:r>
        <w:rPr>
          <w:color w:val="000000" w:themeColor="text1"/>
          <w:sz w:val="28"/>
          <w:szCs w:val="28"/>
          <w:highlight w:val="white"/>
        </w:rPr>
        <w:t xml:space="preserve"> 494,9</w:t>
      </w:r>
      <w:r>
        <w:rPr>
          <w:color w:val="000000" w:themeColor="text1"/>
          <w:sz w:val="28"/>
          <w:szCs w:val="28"/>
          <w:highlight w:val="white"/>
        </w:rPr>
        <w:t xml:space="preserve"> тыс. </w:t>
      </w:r>
      <w:r>
        <w:rPr>
          <w:color w:val="000000" w:themeColor="text1"/>
          <w:sz w:val="28"/>
          <w:szCs w:val="28"/>
          <w:highlight w:val="white"/>
        </w:rPr>
        <w:t xml:space="preserve">ру</w:t>
      </w:r>
      <w:r>
        <w:rPr>
          <w:color w:val="000000" w:themeColor="text1"/>
          <w:sz w:val="28"/>
          <w:szCs w:val="28"/>
          <w:highlight w:val="white"/>
        </w:rPr>
        <w:t xml:space="preserve">б.)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В </w:t>
      </w:r>
      <w:r>
        <w:rPr>
          <w:color w:val="000000" w:themeColor="text1"/>
          <w:sz w:val="28"/>
          <w:szCs w:val="28"/>
          <w:highlight w:val="white"/>
        </w:rPr>
        <w:t xml:space="preserve">том чи</w:t>
      </w:r>
      <w:r>
        <w:rPr>
          <w:color w:val="000000" w:themeColor="text1"/>
          <w:sz w:val="28"/>
          <w:szCs w:val="28"/>
          <w:highlight w:val="white"/>
        </w:rPr>
        <w:t xml:space="preserve">сле: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доходы от арендной платы за земельные участки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поступили в сумме </w:t>
      </w:r>
      <w:r>
        <w:rPr>
          <w:color w:val="000000" w:themeColor="text1"/>
          <w:sz w:val="28"/>
          <w:szCs w:val="28"/>
          <w:highlight w:val="white"/>
        </w:rPr>
        <w:br/>
        <w:t xml:space="preserve">45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684,5</w:t>
      </w:r>
      <w:r>
        <w:rPr>
          <w:color w:val="000000" w:themeColor="text1"/>
          <w:sz w:val="28"/>
          <w:szCs w:val="28"/>
          <w:highlight w:val="white"/>
        </w:rPr>
        <w:t xml:space="preserve"> тыс. руб., что на 28,1%</w:t>
      </w:r>
      <w:r>
        <w:rPr>
          <w:color w:val="000000" w:themeColor="text1"/>
          <w:sz w:val="28"/>
          <w:szCs w:val="28"/>
          <w:highlight w:val="white"/>
        </w:rPr>
        <w:t xml:space="preserve"> больше плана отчетн</w:t>
      </w:r>
      <w:r>
        <w:rPr>
          <w:color w:val="000000" w:themeColor="text1"/>
          <w:sz w:val="28"/>
          <w:szCs w:val="28"/>
          <w:highlight w:val="white"/>
        </w:rPr>
        <w:t xml:space="preserve">ого периода (35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665,0</w:t>
      </w:r>
      <w:r>
        <w:rPr>
          <w:color w:val="000000" w:themeColor="text1"/>
          <w:sz w:val="28"/>
          <w:szCs w:val="28"/>
          <w:highlight w:val="white"/>
        </w:rPr>
        <w:t xml:space="preserve"> тыс. </w:t>
      </w:r>
      <w:r>
        <w:rPr>
          <w:color w:val="000000" w:themeColor="text1"/>
          <w:sz w:val="28"/>
          <w:szCs w:val="28"/>
          <w:highlight w:val="white"/>
        </w:rPr>
        <w:t xml:space="preserve">руб.) и</w:t>
      </w:r>
      <w:r>
        <w:rPr>
          <w:color w:val="000000" w:themeColor="text1"/>
          <w:sz w:val="28"/>
          <w:szCs w:val="28"/>
          <w:highlight w:val="white"/>
        </w:rPr>
        <w:t xml:space="preserve"> составляет 78,6%</w:t>
      </w:r>
      <w:r>
        <w:rPr>
          <w:color w:val="000000" w:themeColor="text1"/>
          <w:sz w:val="28"/>
          <w:szCs w:val="28"/>
          <w:highlight w:val="white"/>
        </w:rPr>
        <w:t xml:space="preserve"> к плану года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58 127,6</w:t>
      </w:r>
      <w:r>
        <w:rPr>
          <w:color w:val="000000" w:themeColor="text1"/>
          <w:sz w:val="28"/>
          <w:szCs w:val="28"/>
          <w:highlight w:val="white"/>
        </w:rPr>
        <w:t xml:space="preserve"> тыс. </w:t>
      </w:r>
      <w:r>
        <w:rPr>
          <w:color w:val="000000" w:themeColor="text1"/>
          <w:sz w:val="28"/>
          <w:szCs w:val="28"/>
          <w:highlight w:val="white"/>
        </w:rPr>
        <w:t xml:space="preserve">руб.)</w:t>
      </w:r>
      <w:r>
        <w:rPr>
          <w:color w:val="000000" w:themeColor="text1"/>
          <w:sz w:val="28"/>
          <w:szCs w:val="28"/>
          <w:highlight w:val="white"/>
        </w:rPr>
        <w:t xml:space="preserve">. </w:t>
      </w:r>
      <w:r>
        <w:rPr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л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 117,4</w:t>
      </w:r>
      <w:r>
        <w:rPr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Перевыполнение планового задания обусловлено поступлением оплаты по договорам аренд</w:t>
      </w:r>
      <w:r>
        <w:rPr>
          <w:color w:val="000000" w:themeColor="text1"/>
          <w:sz w:val="28"/>
          <w:szCs w:val="28"/>
          <w:highlight w:val="white"/>
        </w:rPr>
        <w:t xml:space="preserve">ы, </w:t>
      </w:r>
      <w:r>
        <w:rPr>
          <w:color w:val="000000" w:themeColor="text1"/>
          <w:sz w:val="28"/>
          <w:szCs w:val="28"/>
          <w:highlight w:val="white"/>
        </w:rPr>
        <w:t xml:space="preserve">заключенными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после 1 июля 2025 года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средства от продажи права на заключение договоров аренды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земельных участков, находящихся в муниципальной собственности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поступили в сумме 12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412,8</w:t>
      </w:r>
      <w:r>
        <w:rPr>
          <w:color w:val="000000" w:themeColor="text1"/>
          <w:sz w:val="28"/>
          <w:szCs w:val="28"/>
          <w:highlight w:val="white"/>
        </w:rPr>
        <w:t xml:space="preserve"> тыс. руб., что составляет 21,8% к </w:t>
      </w:r>
      <w:r>
        <w:rPr>
          <w:color w:val="000000" w:themeColor="text1"/>
          <w:sz w:val="28"/>
          <w:szCs w:val="28"/>
          <w:highlight w:val="white"/>
        </w:rPr>
        <w:t xml:space="preserve">плану на отчетного периода (57 056,5 тыс. руб.)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 14,4</w:t>
      </w:r>
      <w:r>
        <w:rPr>
          <w:color w:val="000000" w:themeColor="text1"/>
          <w:sz w:val="28"/>
          <w:szCs w:val="28"/>
          <w:highlight w:val="white"/>
        </w:rPr>
        <w:t xml:space="preserve">% к плану года (86 367,3 тыс. руб.).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Неисполнение планового задания связано с переносом сроков подготовки документации для проведения торгов по реализации земельного участка под многоквартирный дом.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ff0000"/>
          <w:sz w:val="28"/>
          <w:szCs w:val="28"/>
          <w:highlight w:val="white"/>
        </w:rPr>
        <w:suppressLineNumbers w:val="0"/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rFonts w:eastAsia="Calibri"/>
          <w:b/>
          <w:color w:val="000000" w:themeColor="text1"/>
          <w:sz w:val="28"/>
          <w:szCs w:val="28"/>
          <w:highlight w:val="white"/>
        </w:rPr>
        <w:t xml:space="preserve">Доходы от сдачи в аренду муниципального имущества,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имущественных отношений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поступили в сумме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50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739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,5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тыс. руб., что составляет 100,1% к плану отчетного периода (50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 7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00,0 тыс. руб.) и 59,6% к плану года (85 184,0 тыс. руб.).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Относительно аналогичного перио</w:t>
      </w:r>
      <w:r>
        <w:rPr>
          <w:color w:val="000000" w:themeColor="text1"/>
          <w:sz w:val="28"/>
          <w:szCs w:val="28"/>
          <w:highlight w:val="white"/>
        </w:rPr>
        <w:t xml:space="preserve">да прошлого года поступления </w:t>
      </w:r>
      <w:r>
        <w:rPr>
          <w:color w:val="000000" w:themeColor="text1"/>
          <w:sz w:val="28"/>
          <w:szCs w:val="28"/>
          <w:highlight w:val="white"/>
        </w:rPr>
        <w:t xml:space="preserve">составили 94,1%.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П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и муниципальных унитарных предприятий, в том числе ка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зенных)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поступили в сумме 147 720,0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тыс. руб., что составляет 113,7% к плану отчетного периода (129 913,3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тыс. руб.) и 69,1% к плану года (213 786,6 тыс. руб.).</w:t>
      </w:r>
      <w:r>
        <w:rPr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составили 116,9</w:t>
      </w:r>
      <w:r>
        <w:rPr>
          <w:color w:val="000000" w:themeColor="text1"/>
          <w:sz w:val="28"/>
          <w:szCs w:val="28"/>
          <w:highlight w:val="white"/>
        </w:rPr>
        <w:t xml:space="preserve">%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900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 том числе: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hd w:val="clear" w:color="ffffff" w:themeColor="background1" w:fill="ffffff" w:themeFill="background1"/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  <w14:ligatures w14:val="none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доходы от платы за наем муниципального жилищного фонда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управлением жилищных отношений администрации города Перм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56 850,1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ы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у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б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л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109,1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% к плану отчетного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перио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да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52 120,6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т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ыс.руб.)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 71,0% к плану года (80 120,6 тыс.руб.). 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  <w14:ligatures w14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  <w14:ligatures w14:val="none"/>
        </w:rPr>
      </w:r>
    </w:p>
    <w:p>
      <w:pPr>
        <w:ind w:firstLine="709"/>
        <w:jc w:val="both"/>
        <w:shd w:val="clear" w:color="ffffff" w:themeColor="background1" w:fill="ffffff" w:themeFill="background1"/>
        <w:rPr>
          <w:b/>
          <w:bCs w:val="0"/>
          <w:i w:val="0"/>
          <w:color w:val="000000" w:themeColor="text1"/>
          <w:sz w:val="28"/>
          <w:szCs w:val="28"/>
          <w:highlight w:val="white"/>
          <w:u w:val="none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 увеличились 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 25,7%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в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связи с увеличением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базового размера платы за наем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жилого помещения c 01 января 2026 года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b/>
          <w:bCs w:val="0"/>
          <w:i w:val="0"/>
          <w:color w:val="000000" w:themeColor="text1"/>
          <w:sz w:val="28"/>
          <w:szCs w:val="28"/>
          <w:highlight w:val="white"/>
          <w:u w:val="none"/>
        </w:rPr>
      </w:r>
      <w:r>
        <w:rPr>
          <w:b/>
          <w:bCs w:val="0"/>
          <w:i w:val="0"/>
          <w:color w:val="000000" w:themeColor="text1"/>
          <w:sz w:val="28"/>
          <w:szCs w:val="28"/>
          <w:highlight w:val="white"/>
          <w:u w:val="none"/>
        </w:rPr>
      </w:r>
    </w:p>
    <w:p>
      <w:pPr>
        <w:ind w:firstLine="851"/>
        <w:spacing w:line="240" w:lineRule="auto"/>
        <w:rPr>
          <w:color w:val="auto"/>
          <w:sz w:val="28"/>
          <w:szCs w:val="28"/>
          <w:highlight w:val="white"/>
        </w:rPr>
      </w:pPr>
      <w:r>
        <w:rPr>
          <w:b/>
          <w:i w:val="0"/>
          <w:iCs w:val="0"/>
          <w:color w:val="auto"/>
          <w:sz w:val="28"/>
          <w:szCs w:val="28"/>
          <w:highlight w:val="white"/>
        </w:rPr>
        <w:t xml:space="preserve">- доходы по дого</w:t>
      </w:r>
      <w:r>
        <w:rPr>
          <w:b/>
          <w:i w:val="0"/>
          <w:iCs w:val="0"/>
          <w:color w:val="auto"/>
          <w:sz w:val="28"/>
          <w:szCs w:val="28"/>
          <w:highlight w:val="white"/>
        </w:rPr>
        <w:t xml:space="preserve">ворам на размещение рекламных конструкций</w:t>
      </w:r>
      <w:r>
        <w:rPr>
          <w:i w:val="0"/>
          <w:iCs w:val="0"/>
          <w:color w:val="auto"/>
          <w:sz w:val="28"/>
          <w:szCs w:val="28"/>
          <w:highlight w:val="white"/>
        </w:rPr>
        <w:t xml:space="preserve">, </w:t>
      </w:r>
      <w:r>
        <w:rPr>
          <w:color w:val="auto"/>
          <w:sz w:val="28"/>
          <w:szCs w:val="28"/>
          <w:highlight w:val="white"/>
        </w:rPr>
        <w:t xml:space="preserve">администрируемые департаментом экономики и промышленной политики</w:t>
      </w:r>
      <w:r>
        <w:rPr>
          <w:color w:val="auto"/>
          <w:sz w:val="28"/>
          <w:szCs w:val="28"/>
          <w:highlight w:val="white"/>
        </w:rPr>
        <w:t xml:space="preserve">, поступили в сумме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77 500,8</w:t>
      </w:r>
      <w:r>
        <w:rPr>
          <w:color w:val="auto"/>
          <w:sz w:val="28"/>
          <w:szCs w:val="28"/>
          <w:highlight w:val="white"/>
        </w:rPr>
        <w:t xml:space="preserve"> тыс. руб., ч</w:t>
      </w:r>
      <w:r>
        <w:rPr>
          <w:color w:val="auto"/>
          <w:sz w:val="28"/>
          <w:szCs w:val="28"/>
          <w:highlight w:val="white"/>
        </w:rPr>
        <w:t xml:space="preserve">то в</w:t>
      </w:r>
      <w:r>
        <w:rPr>
          <w:color w:val="auto"/>
          <w:sz w:val="28"/>
          <w:szCs w:val="28"/>
          <w:highlight w:val="white"/>
        </w:rPr>
        <w:t xml:space="preserve"> 1,1 </w:t>
      </w:r>
      <w:r>
        <w:rPr>
          <w:color w:val="auto"/>
          <w:sz w:val="28"/>
          <w:szCs w:val="28"/>
          <w:highlight w:val="white"/>
        </w:rPr>
        <w:t xml:space="preserve">раза п</w:t>
      </w:r>
      <w:r>
        <w:rPr>
          <w:color w:val="auto"/>
          <w:sz w:val="28"/>
          <w:szCs w:val="28"/>
          <w:highlight w:val="white"/>
        </w:rPr>
        <w:t xml:space="preserve">ревышает </w:t>
      </w:r>
      <w:r>
        <w:rPr>
          <w:color w:val="auto"/>
          <w:sz w:val="28"/>
          <w:szCs w:val="28"/>
          <w:highlight w:val="white"/>
        </w:rPr>
        <w:t xml:space="preserve">план </w:t>
      </w:r>
      <w:r>
        <w:rPr>
          <w:color w:val="auto"/>
          <w:sz w:val="28"/>
          <w:szCs w:val="28"/>
          <w:highlight w:val="white"/>
        </w:rPr>
        <w:t xml:space="preserve">отчетного перио</w:t>
      </w:r>
      <w:r>
        <w:rPr>
          <w:color w:val="auto"/>
          <w:sz w:val="28"/>
          <w:szCs w:val="28"/>
          <w:highlight w:val="white"/>
        </w:rPr>
        <w:t xml:space="preserve">д</w:t>
      </w:r>
      <w:r>
        <w:rPr>
          <w:color w:val="auto"/>
          <w:sz w:val="28"/>
          <w:szCs w:val="28"/>
          <w:highlight w:val="white"/>
        </w:rPr>
        <w:t xml:space="preserve">а </w:t>
      </w:r>
      <w:r>
        <w:rPr>
          <w:color w:val="auto"/>
          <w:sz w:val="28"/>
          <w:szCs w:val="28"/>
          <w:highlight w:val="white"/>
        </w:rPr>
        <w:t xml:space="preserve">(69 807,9</w:t>
      </w:r>
      <w:r>
        <w:rPr>
          <w:color w:val="auto"/>
          <w:sz w:val="28"/>
          <w:szCs w:val="28"/>
          <w:highlight w:val="white"/>
        </w:rPr>
        <w:t xml:space="preserve"> тыс. руб.) </w:t>
      </w:r>
      <w:r>
        <w:rPr>
          <w:color w:val="auto"/>
          <w:sz w:val="28"/>
          <w:szCs w:val="28"/>
          <w:highlight w:val="white"/>
        </w:rPr>
        <w:t xml:space="preserve">и составляе</w:t>
      </w:r>
      <w:r>
        <w:rPr>
          <w:color w:val="auto"/>
          <w:sz w:val="28"/>
          <w:szCs w:val="28"/>
          <w:highlight w:val="white"/>
        </w:rPr>
        <w:t xml:space="preserve">т</w:t>
      </w:r>
      <w:r>
        <w:rPr>
          <w:color w:val="auto"/>
          <w:sz w:val="28"/>
          <w:szCs w:val="28"/>
          <w:highlight w:val="white"/>
        </w:rPr>
        <w:t xml:space="preserve"> 65,1% </w:t>
      </w:r>
      <w:r>
        <w:rPr>
          <w:color w:val="auto"/>
          <w:sz w:val="28"/>
          <w:szCs w:val="28"/>
          <w:highlight w:val="white"/>
        </w:rPr>
        <w:t xml:space="preserve">к п</w:t>
      </w:r>
      <w:r>
        <w:rPr>
          <w:color w:val="auto"/>
          <w:sz w:val="28"/>
          <w:szCs w:val="28"/>
          <w:highlight w:val="white"/>
        </w:rPr>
        <w:t xml:space="preserve">лану года (119 058,5 тыс. руб.)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tabs>
          <w:tab w:val="left" w:pos="0" w:leader="none"/>
          <w:tab w:val="left" w:pos="900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Перевыполнение плана связано с поступлением авансовых платежей за сентябрь 2026 года.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851"/>
        <w:spacing w:line="240" w:lineRule="auto"/>
        <w:rPr>
          <w:b w:val="0"/>
          <w:bCs w:val="0"/>
          <w:i w:val="0"/>
          <w:iCs w:val="0"/>
          <w:color w:val="ff0000"/>
          <w:sz w:val="28"/>
          <w:szCs w:val="28"/>
          <w:highlight w:val="white"/>
          <w14:ligatures w14:val="none"/>
        </w:rPr>
      </w:pPr>
      <w:r>
        <w:rPr>
          <w:b/>
          <w:bCs/>
          <w:i w:val="0"/>
          <w:iCs w:val="0"/>
          <w:color w:val="auto"/>
          <w:sz w:val="28"/>
          <w:szCs w:val="28"/>
          <w:highlight w:val="white"/>
        </w:rPr>
        <w:t xml:space="preserve">- доходы по договорам на размещение нестационарных объектов</w:t>
      </w:r>
      <w:r>
        <w:rPr>
          <w:b/>
          <w:bCs/>
          <w:i w:val="0"/>
          <w:iCs w:val="0"/>
          <w:color w:val="auto"/>
          <w:sz w:val="28"/>
          <w:szCs w:val="28"/>
          <w:highlight w:val="white"/>
        </w:rPr>
        <w:t xml:space="preserve">,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администрируемые департаментом экономики и промышленной политики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,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поступили в сумм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е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9 342,3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 тыс. руб., чт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о в 1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,5 раза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превышает пла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н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отчетного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периода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 (6 388,5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тыс. руб.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) </w:t>
      </w:r>
      <w:r>
        <w:rPr>
          <w:b w:val="0"/>
          <w:bCs w:val="0"/>
          <w:i w:val="0"/>
          <w:iCs w:val="0"/>
          <w:color w:val="auto"/>
          <w:sz w:val="28"/>
          <w:szCs w:val="28"/>
          <w:highlight w:val="white"/>
        </w:rPr>
        <w:t xml:space="preserve">и составляет 88,2% к плану года (10 589,6 тыс. руб.). </w:t>
      </w:r>
      <w:r>
        <w:rPr>
          <w:b w:val="0"/>
          <w:bCs w:val="0"/>
          <w:i w:val="0"/>
          <w:iCs w:val="0"/>
          <w:color w:val="ff0000"/>
          <w:sz w:val="28"/>
          <w:szCs w:val="28"/>
          <w:highlight w:val="white"/>
          <w14:ligatures w14:val="none"/>
        </w:rPr>
      </w:r>
      <w:r>
        <w:rPr>
          <w:b w:val="0"/>
          <w:bCs w:val="0"/>
          <w:i w:val="0"/>
          <w:iCs w:val="0"/>
          <w:color w:val="ff0000"/>
          <w:sz w:val="28"/>
          <w:szCs w:val="28"/>
          <w:highlight w:val="white"/>
          <w14:ligatures w14:val="none"/>
        </w:rPr>
      </w:r>
    </w:p>
    <w:p>
      <w:pPr>
        <w:ind w:firstLine="709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Перевыполнение плана обусловлено поступлением авансовых платежей</w:t>
      </w:r>
      <w:r>
        <w:rPr>
          <w:color w:val="000000" w:themeColor="text1"/>
          <w:sz w:val="28"/>
          <w:szCs w:val="28"/>
          <w:highlight w:val="white"/>
        </w:rPr>
        <w:t xml:space="preserve"> за сентябрь</w:t>
      </w:r>
      <w:r>
        <w:rPr>
          <w:color w:val="000000" w:themeColor="text1"/>
          <w:sz w:val="28"/>
          <w:szCs w:val="28"/>
          <w:highlight w:val="white"/>
        </w:rPr>
        <w:t xml:space="preserve"> 2026 года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</w:rPr>
        <w:suppressLineNumbers w:val="0"/>
      </w:pPr>
      <w:r>
        <w:rPr>
          <w:b/>
          <w:color w:val="000000" w:themeColor="text1"/>
          <w:sz w:val="28"/>
          <w:szCs w:val="28"/>
          <w:highlight w:val="white"/>
        </w:rPr>
        <w:t xml:space="preserve">Дох</w:t>
      </w:r>
      <w:r>
        <w:rPr>
          <w:b/>
          <w:color w:val="000000" w:themeColor="text1"/>
          <w:sz w:val="28"/>
          <w:szCs w:val="28"/>
          <w:highlight w:val="white"/>
        </w:rPr>
        <w:t xml:space="preserve">о</w:t>
      </w:r>
      <w:r>
        <w:rPr>
          <w:b/>
          <w:color w:val="000000" w:themeColor="text1"/>
          <w:sz w:val="28"/>
          <w:szCs w:val="28"/>
          <w:highlight w:val="white"/>
        </w:rPr>
        <w:t xml:space="preserve">ды от оказания платных услуг (работ) и компенсации затрат государства</w:t>
      </w:r>
      <w:r>
        <w:rPr>
          <w:color w:val="000000" w:themeColor="text1"/>
          <w:sz w:val="28"/>
          <w:szCs w:val="28"/>
          <w:highlight w:val="white"/>
        </w:rPr>
        <w:t xml:space="preserve"> поступили в сумме 3 762 487,7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тыс. руб., что составляет 103,3%</w:t>
      </w:r>
      <w:r>
        <w:rPr>
          <w:color w:val="000000" w:themeColor="text1"/>
          <w:sz w:val="28"/>
          <w:szCs w:val="28"/>
          <w:highlight w:val="white"/>
        </w:rPr>
        <w:t xml:space="preserve"> к плану отчетного периода</w:t>
      </w:r>
      <w:r>
        <w:rPr>
          <w:color w:val="000000" w:themeColor="text1"/>
          <w:sz w:val="28"/>
          <w:szCs w:val="28"/>
          <w:highlight w:val="white"/>
        </w:rPr>
        <w:t xml:space="preserve"> (3 640 858,7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тыс. руб.) и 65,4</w:t>
      </w:r>
      <w:r>
        <w:rPr>
          <w:color w:val="000000" w:themeColor="text1"/>
          <w:sz w:val="28"/>
          <w:szCs w:val="28"/>
          <w:highlight w:val="white"/>
        </w:rPr>
        <w:t xml:space="preserve">% к плану го</w:t>
      </w:r>
      <w:r>
        <w:rPr>
          <w:color w:val="000000" w:themeColor="text1"/>
          <w:sz w:val="28"/>
          <w:szCs w:val="28"/>
          <w:highlight w:val="white"/>
        </w:rPr>
        <w:t xml:space="preserve">да (</w:t>
      </w:r>
      <w:r>
        <w:rPr>
          <w:color w:val="000000" w:themeColor="text1"/>
          <w:sz w:val="28"/>
          <w:szCs w:val="28"/>
          <w:highlight w:val="white"/>
        </w:rPr>
        <w:t xml:space="preserve">5 751 209,6 </w:t>
      </w:r>
      <w:r>
        <w:rPr>
          <w:color w:val="000000" w:themeColor="text1"/>
          <w:sz w:val="28"/>
          <w:szCs w:val="28"/>
          <w:highlight w:val="white"/>
        </w:rPr>
        <w:t xml:space="preserve">тыс. </w:t>
      </w:r>
      <w:r>
        <w:rPr>
          <w:color w:val="000000" w:themeColor="text1"/>
          <w:sz w:val="28"/>
          <w:szCs w:val="28"/>
          <w:highlight w:val="white"/>
        </w:rPr>
        <w:t xml:space="preserve">руб.).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107,8%.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средства от реализации проездных документов отдельным категориям граждан города Перми,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администрируемые департаментом транспорта,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405 800,7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или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100,1% к плану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  <w:br/>
        <w:t xml:space="preserve">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405 529,0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61,2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% к плану года (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662 855,1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руб.);</w:t>
      </w:r>
      <w:r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средства от реализации единых проездных документов,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транспорта,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321 981,2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или 98,3% к плану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327 515,6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66,1% к плану года (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487 449,7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руб.);</w:t>
      </w:r>
      <w:r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средства от перечисления платы за проезд пассажиров и провоз багажа,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транспорта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, поступили в сумме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2 838 412,2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руб., или 97,8% к плану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highlight w:val="white"/>
          <w:u w:val="none"/>
          <w:vertAlign w:val="baseline"/>
        </w:rPr>
        <w:t xml:space="preserve">2 902 329,2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61,8% к плану год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а (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4 592 971,5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strike/>
          <w:color w:val="000000" w:themeColor="text1"/>
          <w:sz w:val="28"/>
          <w:szCs w:val="28"/>
          <w:highlight w:val="white"/>
        </w:rPr>
        <w:suppressLineNumbers w:val="0"/>
      </w:pPr>
      <w:r>
        <w:rPr>
          <w:i w:val="0"/>
          <w:iCs w:val="0"/>
          <w:strike w:val="0"/>
          <w:color w:val="000000" w:themeColor="text1"/>
          <w:sz w:val="28"/>
          <w:szCs w:val="28"/>
          <w:highlight w:val="white"/>
        </w:rPr>
        <w:t xml:space="preserve">В целом по до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ходам от платы за проезд выполнение составило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 98,1%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от плана отчетного периода.</w:t>
      </w:r>
      <w:r>
        <w:rPr>
          <w:strike/>
          <w:color w:val="000000" w:themeColor="text1"/>
          <w:sz w:val="28"/>
          <w:szCs w:val="28"/>
          <w:highlight w:val="white"/>
        </w:rPr>
      </w:r>
      <w:r>
        <w:rPr>
          <w:strike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strike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Неполное исполнение </w:t>
      </w:r>
      <w:r>
        <w:rPr>
          <w:color w:val="000000" w:themeColor="text1"/>
          <w:sz w:val="28"/>
          <w:szCs w:val="28"/>
          <w:highlight w:val="white"/>
        </w:rPr>
        <w:t xml:space="preserve">пл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на </w:t>
      </w:r>
      <w:r>
        <w:rPr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color w:val="000000" w:themeColor="text1"/>
          <w:sz w:val="28"/>
          <w:szCs w:val="28"/>
          <w:highlight w:val="white"/>
        </w:rPr>
        <w:t xml:space="preserve"> связано с недос</w:t>
      </w:r>
      <w:r>
        <w:rPr>
          <w:color w:val="000000" w:themeColor="text1"/>
          <w:sz w:val="28"/>
          <w:szCs w:val="28"/>
          <w:highlight w:val="white"/>
        </w:rPr>
        <w:t xml:space="preserve">тижением запланированного объема </w:t>
      </w:r>
      <w:r>
        <w:rPr>
          <w:color w:val="000000" w:themeColor="text1"/>
          <w:sz w:val="28"/>
          <w:highlight w:val="white"/>
        </w:rPr>
        <w:t xml:space="preserve"> пассажиропотока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(при плане 120 068,1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тыс. чел.,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факт – 113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 984,9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тыс. чел.)</w:t>
      </w:r>
      <w:r>
        <w:rPr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strike w:val="0"/>
          <w:color w:val="000000" w:themeColor="text1"/>
          <w:sz w:val="28"/>
          <w:szCs w:val="28"/>
          <w:highlight w:val="white"/>
        </w:rPr>
      </w:r>
      <w:r>
        <w:rPr>
          <w:strike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ff0000"/>
          <w:sz w:val="28"/>
          <w:szCs w:val="28"/>
          <w:highlight w:val="white"/>
        </w:rPr>
        <w:suppressLineNumbers w:val="0"/>
      </w:pPr>
      <w:r>
        <w:rPr>
          <w:color w:val="ff0000"/>
          <w:sz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color w:val="000000" w:themeColor="text1"/>
          <w:sz w:val="28"/>
          <w:szCs w:val="28"/>
          <w:highlight w:val="white"/>
        </w:rPr>
        <w:t xml:space="preserve">Доходы от продажи земельных </w:t>
      </w:r>
      <w:r>
        <w:rPr>
          <w:b/>
          <w:color w:val="000000" w:themeColor="text1"/>
          <w:sz w:val="28"/>
          <w:szCs w:val="28"/>
          <w:highlight w:val="white"/>
        </w:rPr>
        <w:t xml:space="preserve">участков, государственная собственность на которые не разграничена</w:t>
      </w:r>
      <w:r>
        <w:rPr>
          <w:b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182 817,6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что в 1,4 раза превышает план отчетного периода (133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253,8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color w:val="000000" w:themeColor="text1"/>
          <w:sz w:val="28"/>
          <w:szCs w:val="28"/>
          <w:highlight w:val="white"/>
        </w:rPr>
        <w:t xml:space="preserve">руб.) и составляет 84,3</w:t>
      </w:r>
      <w:r>
        <w:rPr>
          <w:color w:val="000000" w:themeColor="text1"/>
          <w:sz w:val="28"/>
          <w:szCs w:val="28"/>
          <w:highlight w:val="white"/>
        </w:rPr>
        <w:t xml:space="preserve">% к плану года (216 854,0 тыс. руб.).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193,1%.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В январе – августе</w:t>
      </w:r>
      <w:r>
        <w:rPr>
          <w:color w:val="000000" w:themeColor="text1"/>
          <w:sz w:val="28"/>
          <w:szCs w:val="28"/>
          <w:highlight w:val="white"/>
        </w:rPr>
        <w:t xml:space="preserve"> на аукционах реализован</w:t>
      </w:r>
      <w:r>
        <w:rPr>
          <w:color w:val="000000" w:themeColor="text1"/>
          <w:sz w:val="28"/>
          <w:szCs w:val="28"/>
          <w:highlight w:val="white"/>
        </w:rPr>
        <w:t xml:space="preserve">ы</w:t>
      </w:r>
      <w:r>
        <w:rPr>
          <w:color w:val="000000" w:themeColor="text1"/>
          <w:sz w:val="28"/>
          <w:szCs w:val="28"/>
          <w:highlight w:val="white"/>
        </w:rPr>
        <w:t xml:space="preserve"> в собственность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земельные участки, предназначенные под ИЖС, с превышением начальной цены.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ос</w:t>
      </w:r>
      <w:r>
        <w:rPr>
          <w:color w:val="000000" w:themeColor="text1"/>
          <w:sz w:val="28"/>
          <w:szCs w:val="28"/>
          <w:highlight w:val="white"/>
        </w:rPr>
        <w:t xml:space="preserve">тупление средств от продажи земельных участков носит заявитель</w:t>
      </w:r>
      <w:r>
        <w:rPr>
          <w:color w:val="000000" w:themeColor="text1"/>
          <w:sz w:val="28"/>
          <w:szCs w:val="28"/>
          <w:highlight w:val="white"/>
        </w:rPr>
        <w:t xml:space="preserve">ный характер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color w:val="ff0000"/>
          <w:sz w:val="28"/>
          <w:szCs w:val="28"/>
          <w:highlight w:val="white"/>
        </w:rPr>
        <w:suppressLineNumbers w:val="0"/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color w:val="000000" w:themeColor="text1"/>
          <w:sz w:val="28"/>
          <w:szCs w:val="28"/>
          <w:highlight w:val="white"/>
        </w:rPr>
        <w:t xml:space="preserve">Доходы </w:t>
      </w:r>
      <w:r>
        <w:rPr>
          <w:b/>
          <w:color w:val="000000" w:themeColor="text1"/>
          <w:sz w:val="28"/>
          <w:szCs w:val="28"/>
          <w:highlight w:val="white"/>
        </w:rPr>
        <w:t xml:space="preserve">от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</w:t>
      </w:r>
      <w:r>
        <w:rPr>
          <w:b/>
          <w:color w:val="000000" w:themeColor="text1"/>
          <w:sz w:val="28"/>
          <w:szCs w:val="28"/>
          <w:highlight w:val="white"/>
        </w:rPr>
        <w:t xml:space="preserve">в,</w:t>
      </w:r>
      <w:r>
        <w:rPr>
          <w:b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, поступили в размере 51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946,9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что в составляет 89,7% плана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(57 9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00,0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51,0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% к плану года (101 764,9 тыс.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руб.).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алогичного периода прошлого года поступления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95,5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%.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Поступление средств от продажи земельных участков</w:t>
      </w:r>
      <w:r>
        <w:rPr>
          <w:color w:val="000000" w:themeColor="text1"/>
          <w:sz w:val="28"/>
          <w:szCs w:val="28"/>
          <w:highlight w:val="white"/>
        </w:rPr>
        <w:t xml:space="preserve"> носит заявительный характер.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color w:val="ff0000"/>
          <w:sz w:val="28"/>
          <w:szCs w:val="28"/>
          <w:highlight w:val="white"/>
        </w:rPr>
        <w:suppressLineNumbers w:val="0"/>
      </w:pP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  <w:r>
        <w:rPr>
          <w:color w:val="ff0000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color w:val="000000" w:themeColor="text1"/>
          <w:sz w:val="28"/>
          <w:szCs w:val="28"/>
          <w:highlight w:val="white"/>
        </w:rPr>
        <w:t xml:space="preserve">Доходы от приватизации имущества,</w:t>
      </w:r>
      <w:r>
        <w:rPr>
          <w:b/>
          <w:i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color w:val="000000" w:themeColor="text1"/>
          <w:sz w:val="28"/>
          <w:szCs w:val="28"/>
          <w:highlight w:val="white"/>
        </w:rPr>
        <w:t xml:space="preserve">находящегося в собственности городских</w:t>
      </w:r>
      <w:r>
        <w:rPr>
          <w:b/>
          <w:color w:val="000000" w:themeColor="text1"/>
          <w:sz w:val="28"/>
          <w:szCs w:val="28"/>
          <w:highlight w:val="white"/>
        </w:rPr>
        <w:t xml:space="preserve"> округо</w:t>
      </w:r>
      <w:r>
        <w:rPr>
          <w:b/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поступили в размере 52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184</w:t>
      </w:r>
      <w:r>
        <w:rPr>
          <w:color w:val="000000" w:themeColor="text1"/>
          <w:sz w:val="28"/>
          <w:szCs w:val="28"/>
          <w:highlight w:val="white"/>
        </w:rPr>
        <w:t xml:space="preserve">,0</w:t>
      </w:r>
      <w:r>
        <w:rPr>
          <w:color w:val="000000" w:themeColor="text1"/>
          <w:sz w:val="28"/>
          <w:szCs w:val="28"/>
          <w:highlight w:val="white"/>
        </w:rPr>
        <w:t xml:space="preserve"> тыс. руб., что </w:t>
      </w:r>
      <w:r>
        <w:rPr>
          <w:color w:val="000000" w:themeColor="text1"/>
          <w:sz w:val="28"/>
          <w:szCs w:val="28"/>
          <w:highlight w:val="white"/>
        </w:rPr>
        <w:t xml:space="preserve">в 1,6 раза превышает </w:t>
      </w:r>
      <w:r>
        <w:rPr>
          <w:color w:val="000000" w:themeColor="text1"/>
          <w:sz w:val="28"/>
          <w:szCs w:val="28"/>
          <w:highlight w:val="white"/>
        </w:rPr>
        <w:t xml:space="preserve">план отчетного периода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(33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274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,8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тыс. руб.) и составляет 103,2% к плану года (50 575,8 тыс. руб.)</w:t>
      </w:r>
      <w:r>
        <w:rPr>
          <w:color w:val="000000" w:themeColor="text1"/>
          <w:sz w:val="28"/>
          <w:szCs w:val="28"/>
          <w:highlight w:val="white"/>
        </w:rPr>
        <w:t xml:space="preserve">. Относительно аналогичного периода прошлого года поступления составили 63,5%.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color w:val="000000" w:themeColor="text1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contextualSpacing w:val="0"/>
        <w:ind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- доходы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результате реализации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муниципального имущества на торгах в порядке,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установленном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Федеральным законом от 21.12.2001 № 178-ФЗ «О приватизации государственного и муниципального имущества», 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поступили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размере 23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847</w:t>
      </w:r>
      <w:r>
        <w:rPr>
          <w:color w:val="000000" w:themeColor="text1"/>
          <w:sz w:val="28"/>
          <w:szCs w:val="28"/>
          <w:highlight w:val="white"/>
        </w:rPr>
        <w:t xml:space="preserve">,5 тыс. руб.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что в 1,8 раза превышает план отчетного периода (13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357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,6 тыс. руб.) и составляет 112,5% к плану года (21 192,9 тыс. руб.).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Перевыполнение плана обусловлено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реализацией долей в праве на земельные участки по цене выше запланированной.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rFonts w:eastAsia="Calibri"/>
          <w:color w:val="000000" w:themeColor="text1"/>
          <w:sz w:val="28"/>
          <w:szCs w:val="28"/>
          <w:highlight w:val="white"/>
        </w:rPr>
        <w:suppressLineNumbers w:val="0"/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оходы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eastAsia="Calibri"/>
          <w:b w:val="0"/>
          <w:bCs w:val="0"/>
          <w:color w:val="000000" w:themeColor="text1"/>
          <w:sz w:val="28"/>
          <w:szCs w:val="28"/>
          <w:highlight w:val="white"/>
        </w:rPr>
        <w:t xml:space="preserve"> р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езультате реализации муниципального имущества в порядке, установленном Федеральным законом от 22.07.2008 № 159-ФЗ «Об особенностях отчуждения недвижимого имущества, находящегося в государственной собственн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 поступили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размере 27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030,3</w:t>
      </w:r>
      <w:r>
        <w:rPr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что составляет 136,8% к плану отчетного периода (19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758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,1 тыс. руб.) и 92,5% к плану года (29 223,8 тыс. руб.).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Пере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выполнение плана отчетного периода обусловлено досрочной оплатой по договорам купли-продажи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tabs>
          <w:tab w:val="left" w:pos="0" w:leader="none"/>
          <w:tab w:val="left" w:pos="709" w:leader="none"/>
        </w:tabs>
        <w:rPr>
          <w:bCs w:val="0"/>
          <w:i w:val="0"/>
          <w:color w:val="ff0000"/>
          <w:sz w:val="28"/>
          <w:szCs w:val="28"/>
          <w:highlight w:val="white"/>
        </w:rPr>
      </w:pPr>
      <w:r>
        <w:rPr>
          <w:b w:val="0"/>
          <w:bCs w:val="0"/>
          <w:i w:val="0"/>
          <w:iCs w:val="0"/>
          <w:color w:val="ff0000"/>
          <w:sz w:val="28"/>
          <w:szCs w:val="28"/>
          <w:highlight w:val="white"/>
          <w:u w:val="none"/>
        </w:rPr>
      </w:r>
      <w:r>
        <w:rPr>
          <w:bCs w:val="0"/>
          <w:i w:val="0"/>
          <w:color w:val="ff0000"/>
          <w:sz w:val="28"/>
          <w:szCs w:val="28"/>
          <w:highlight w:val="white"/>
        </w:rPr>
      </w:r>
      <w:r>
        <w:rPr>
          <w:bCs w:val="0"/>
          <w:i w:val="0"/>
          <w:color w:val="ff0000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tabs>
          <w:tab w:val="left" w:pos="0" w:leader="none"/>
          <w:tab w:val="left" w:pos="709" w:leader="none"/>
        </w:tabs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pPr>
      <w:r>
        <w:rPr>
          <w:b/>
          <w:color w:val="000000" w:themeColor="text1"/>
          <w:sz w:val="28"/>
          <w:szCs w:val="28"/>
          <w:highlight w:val="white"/>
        </w:rPr>
        <w:t xml:space="preserve">П</w:t>
      </w:r>
      <w:r>
        <w:rPr>
          <w:b/>
          <w:color w:val="000000" w:themeColor="text1"/>
          <w:sz w:val="28"/>
          <w:szCs w:val="28"/>
          <w:highlight w:val="white"/>
        </w:rPr>
        <w:t xml:space="preserve">рочие неналоговые доходы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оступили в сумме</w:t>
      </w:r>
      <w:r>
        <w:rPr>
          <w:color w:val="000000" w:themeColor="text1"/>
          <w:sz w:val="28"/>
          <w:szCs w:val="28"/>
          <w:highlight w:val="white"/>
        </w:rPr>
        <w:t xml:space="preserve"> 200 325,8 </w:t>
      </w:r>
      <w:r>
        <w:rPr>
          <w:color w:val="000000" w:themeColor="text1"/>
          <w:sz w:val="28"/>
          <w:szCs w:val="28"/>
          <w:highlight w:val="white"/>
        </w:rPr>
        <w:t xml:space="preserve">тыс. руб., что в 2,8 раз превышает план отчетног</w:t>
      </w:r>
      <w:r>
        <w:rPr>
          <w:color w:val="000000" w:themeColor="text1"/>
          <w:sz w:val="28"/>
          <w:szCs w:val="28"/>
          <w:highlight w:val="white"/>
        </w:rPr>
        <w:t xml:space="preserve">о периода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(71 500,0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 тыс. руб.) и составляет 143,5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к п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лану года (139 604,7 тыс. руб.)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.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127,5%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</w:p>
    <w:p>
      <w:pPr>
        <w:ind w:firstLine="709"/>
        <w:jc w:val="both"/>
        <w:spacing w:line="240" w:lineRule="auto"/>
        <w:tabs>
          <w:tab w:val="left" w:pos="0" w:leader="none"/>
          <w:tab w:val="left" w:pos="709" w:leader="none"/>
        </w:tabs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</w:rPr>
      </w:pP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  <w:u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восстановител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ьная стоимость зеленых насаждений,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 администрируемая 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управлением по экологии и природопользовани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ю</w:t>
      </w:r>
      <w:r>
        <w:rPr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eastAsia="Calibri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поступила в сумме</w:t>
      </w:r>
      <w:r>
        <w:rPr>
          <w:rFonts w:eastAsia="Calibri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98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520</w:t>
      </w:r>
      <w:r>
        <w:rPr>
          <w:rFonts w:eastAsia="Calibri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,4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что в 5,2 раза превышает план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 (19</w:t>
      </w:r>
      <w:r>
        <w:rPr>
          <w:rFonts w:eastAsia="Calibri"/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100,0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и в 1,6 раза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 план года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 (62 240,6 тыс. руб.)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увеличились в 1,4 раза.</w:t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eastAsia="Calibri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Calibri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Перевыполнение плана обусловлено поступлениями</w:t>
      </w:r>
      <w:r>
        <w:rPr>
          <w:rFonts w:eastAsia="Calibri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от крупных предприятий в сфере строительства</w:t>
      </w:r>
      <w:r>
        <w:rPr>
          <w:rFonts w:eastAsia="Calibri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left" w:pos="0" w:leader="none"/>
        </w:tabs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лата за фактическое пользование земельными участка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 раз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граничения государственной собственности на землю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администрируемая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департаментом земельных отношений,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поступила в сумме 101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505,4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 что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 1,9 раза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превыш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ает план отчетного периода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(52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400,0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тыс.руб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.) и составляет 131,2% к плану года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(77 364,1 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руб.)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  <w:szCs w:val="28"/>
          <w:highlight w:val="white"/>
        </w:rPr>
        <w:t xml:space="preserve">Относительно аналогично</w:t>
      </w:r>
      <w:r>
        <w:rPr>
          <w:iCs/>
          <w:color w:val="000000" w:themeColor="text1"/>
          <w:sz w:val="28"/>
          <w:szCs w:val="28"/>
          <w:highlight w:val="white"/>
        </w:rPr>
        <w:t xml:space="preserve">го периода прошлого года поступления увеличились в 2,3 раза.</w:t>
      </w:r>
      <w:r>
        <w:rPr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left" w:pos="0" w:leader="none"/>
        </w:tabs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  <w:t xml:space="preserve">Увеличение поступлений связано с систематич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  <w:t xml:space="preserve">ским выявлением земельных участков, используемых без оформленных прав, и выдачей разрешений на размещение объектов, а также с погашением задолженности за пользование земельным участком, расположенным по адресу: ул. Уральская, 93, в сумме 18 146,8 тыс. руб.</w:t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left" w:pos="0" w:leader="none"/>
        </w:tabs>
        <w:rPr>
          <w:b w:val="0"/>
          <w:bCs w:val="0"/>
          <w:i w:val="0"/>
          <w:color w:val="ff0000"/>
          <w:sz w:val="28"/>
          <w:szCs w:val="28"/>
          <w:highlight w:val="white"/>
        </w:rPr>
        <w:suppressLineNumbers w:val="0"/>
      </w:pPr>
      <w:r>
        <w:rPr>
          <w:b w:val="0"/>
          <w:bCs w:val="0"/>
          <w:i w:val="0"/>
          <w:color w:val="ff0000"/>
          <w:sz w:val="28"/>
          <w:szCs w:val="28"/>
          <w:highlight w:val="white"/>
        </w:rPr>
      </w:r>
      <w:r>
        <w:rPr>
          <w:b w:val="0"/>
          <w:bCs w:val="0"/>
          <w:i w:val="0"/>
          <w:color w:val="ff0000"/>
          <w:sz w:val="28"/>
          <w:szCs w:val="28"/>
          <w:highlight w:val="white"/>
        </w:rPr>
      </w:r>
      <w:r>
        <w:rPr>
          <w:b w:val="0"/>
          <w:bCs w:val="0"/>
          <w:i w:val="0"/>
          <w:color w:val="ff0000"/>
          <w:sz w:val="28"/>
          <w:szCs w:val="28"/>
          <w:highlight w:val="white"/>
        </w:rPr>
      </w:r>
    </w:p>
    <w:p>
      <w:pPr>
        <w:ind w:left="0" w:firstLine="709"/>
        <w:jc w:val="center"/>
        <w:spacing w:line="240" w:lineRule="atLeas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ind w:left="0" w:firstLine="709"/>
        <w:jc w:val="center"/>
        <w:spacing w:line="240" w:lineRule="atLeas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pStyle w:val="1313"/>
        <w:ind w:left="0" w:firstLine="709"/>
        <w:jc w:val="center"/>
        <w:spacing w:line="240" w:lineRule="atLeas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2.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ИСПОЛНЕНИЕ БЮДЖЕТА ПО РАСХОДАМ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pStyle w:val="1313"/>
        <w:ind w:firstLine="360"/>
        <w:jc w:val="center"/>
        <w:spacing w:line="240" w:lineRule="atLeast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  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приложение 2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 настоящей записке)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7938" w:leader="none"/>
        </w:tabs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ind w:firstLine="709"/>
        <w:spacing w:line="240" w:lineRule="auto"/>
        <w:tabs>
          <w:tab w:val="left" w:pos="7938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Кассовый расход бюджета (без учёта зарезервированных средств: на исполнение судебных исков, резервного фонда администрации города) 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сентября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года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составил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40 570 062,0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тыс. руб.,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ли </w:t>
      </w:r>
      <w:r>
        <w:rPr>
          <w:rFonts w:ascii="Times New Roman" w:hAnsi="Times New Roman" w:eastAsia="Times New Roman" w:cs="Times New Roman"/>
          <w:b/>
          <w:bCs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97,2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пл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ана отчетного периода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  <w:br/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(41 736 546,2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тыс. 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уб.)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56,9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от годовых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ассигнований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71 310 227,7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тыс. руб.).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Исполнение по расходам за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январ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ь-август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2025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года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составляло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36 188 373,3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тыс.руб.,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или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95,4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плана отчетного периода 2025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года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52,5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от г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одовы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ассигнований.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     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1313"/>
        <w:ind w:firstLine="709"/>
        <w:spacing w:line="240" w:lineRule="atLeast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Расходная часть бюджета за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январ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ь-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август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года в разрезе источников финансирования исполнена следующим образом.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ind w:firstLine="709"/>
        <w:spacing w:line="240" w:lineRule="atLeast"/>
        <w:rPr>
          <w:rFonts w:ascii="Times New Roman" w:hAnsi="Times New Roman" w:cs="Times New Roman"/>
          <w:color w:val="auto"/>
          <w:sz w:val="20"/>
          <w:szCs w:val="16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0"/>
          <w:szCs w:val="16"/>
          <w:highlight w:val="white"/>
        </w:rPr>
      </w:r>
      <w:r>
        <w:rPr>
          <w:rFonts w:ascii="Times New Roman" w:hAnsi="Times New Roman" w:cs="Times New Roman"/>
          <w:color w:val="auto"/>
          <w:sz w:val="20"/>
          <w:szCs w:val="16"/>
          <w:highlight w:val="white"/>
        </w:rPr>
      </w:r>
      <w:r>
        <w:rPr>
          <w:rFonts w:ascii="Times New Roman" w:hAnsi="Times New Roman" w:cs="Times New Roman"/>
          <w:color w:val="auto"/>
          <w:sz w:val="20"/>
          <w:szCs w:val="16"/>
          <w:highlight w:val="white"/>
        </w:rPr>
      </w:r>
    </w:p>
    <w:p>
      <w:pPr>
        <w:ind w:firstLine="709"/>
        <w:spacing w:line="240" w:lineRule="atLeast"/>
        <w:rPr>
          <w:rFonts w:ascii="Times New Roman" w:hAnsi="Times New Roman" w:cs="Times New Roman"/>
          <w:b/>
          <w:bCs/>
          <w:color w:val="auto"/>
          <w:sz w:val="20"/>
          <w:szCs w:val="20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2.1. за счет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средств местного бюджета на выполнение собственных полномочий (без учёта зарезервированных средств)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- кассовое исполнение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составляет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23 247 446,2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ыс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 руб.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или </w:t>
      </w:r>
      <w:r>
        <w:rPr>
          <w:rFonts w:ascii="Times New Roman" w:hAnsi="Times New Roman" w:eastAsia="Times New Roman" w:cs="Times New Roman"/>
          <w:b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96,4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кассового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плана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отч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етного периода - 24 124 087,1</w:t>
      </w:r>
      <w:r>
        <w:rPr>
          <w:rFonts w:ascii="Times New Roman" w:hAnsi="Times New Roman" w:eastAsia="Times New Roman" w:cs="Times New Roman"/>
          <w:b/>
          <w:i w:val="0"/>
          <w:strike w:val="0"/>
          <w:color w:val="auto"/>
          <w:sz w:val="20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тыс. 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56,6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годовых ассигнований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Исполнение расходов                      за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январь-август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года составляло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20 960 352,0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тыс. руб., или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93,6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кассового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плана отчетного периода 2025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года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 50,3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годовых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ассигновани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й.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  <w:highlight w:val="white"/>
          <w:u w:val="none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  <w:highlight w:val="white"/>
          <w:u w:val="none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highlight w:val="white"/>
          <w:u w:val="none"/>
        </w:rPr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highlight w:val="white"/>
          <w:u w:val="none"/>
        </w:rPr>
      </w:r>
    </w:p>
    <w:p>
      <w:pPr>
        <w:pStyle w:val="1313"/>
        <w:ind w:firstLine="709"/>
        <w:spacing w:line="240" w:lineRule="atLeast"/>
        <w:tabs>
          <w:tab w:val="right" w:pos="10488" w:leader="none"/>
        </w:tabs>
        <w:rPr>
          <w:rFonts w:ascii="Times New Roman" w:hAnsi="Times New Roman" w:cs="Times New Roman"/>
          <w:b/>
          <w:bCs/>
          <w:color w:val="auto"/>
          <w:sz w:val="20"/>
          <w:szCs w:val="20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  <w:highlight w:val="white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auto"/>
          <w:sz w:val="16"/>
          <w:szCs w:val="20"/>
          <w:highlight w:val="white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  <w:highlight w:val="white"/>
          <w:u w:val="none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  <w:highlight w:val="white"/>
          <w:u w:val="none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highlight w:val="white"/>
          <w:u w:val="none"/>
        </w:rPr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highlight w:val="white"/>
          <w:u w:val="none"/>
        </w:rPr>
      </w:r>
    </w:p>
    <w:p>
      <w:pPr>
        <w:ind w:firstLine="709"/>
        <w:spacing w:line="240" w:lineRule="atLeast"/>
        <w:rPr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2.2. за счет средств, выделенных на исполнение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государственных полномочий, -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кассовое исполнение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составляет</w:t>
      </w:r>
      <w:r>
        <w:rPr>
          <w:rFonts w:ascii="Times New Roman" w:hAnsi="Times New Roman" w:eastAsia="Times New Roman" w:cs="Times New Roman"/>
          <w:color w:val="auto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12 465 048,8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ыс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. руб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.,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или 99,5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                  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кассового плана отчетного периода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12 525 058,1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тыс.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руб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 66,5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годовых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ассигнований.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Исполнение расходов за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январь-август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2025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года составляло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  <w:br/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11 129 178,5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ыс.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руб.,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или </w:t>
      </w:r>
      <w:r>
        <w:rPr>
          <w:rFonts w:ascii="Times New Roman" w:hAnsi="Times New Roman" w:eastAsia="Times New Roman" w:cs="Times New Roman"/>
          <w:b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99,2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кассовог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 плана отчетного периода 2025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года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64,2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 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годовых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ссигнований.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</w:r>
    </w:p>
    <w:p>
      <w:pPr>
        <w:pStyle w:val="1313"/>
        <w:ind w:firstLine="709"/>
        <w:spacing w:line="240" w:lineRule="atLeast"/>
        <w:rPr>
          <w:rFonts w:ascii="Times New Roman" w:hAnsi="Times New Roman" w:cs="Times New Roman"/>
          <w:color w:val="auto"/>
          <w:sz w:val="16"/>
          <w:szCs w:val="16"/>
          <w:highlight w:val="white"/>
          <w:u w:val="none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highlight w:val="white"/>
          <w:u w:val="none"/>
        </w:rPr>
      </w:r>
      <w:r>
        <w:rPr>
          <w:rFonts w:ascii="Times New Roman" w:hAnsi="Times New Roman" w:cs="Times New Roman"/>
          <w:color w:val="auto"/>
          <w:sz w:val="16"/>
          <w:szCs w:val="16"/>
          <w:highlight w:val="white"/>
          <w:u w:val="none"/>
        </w:rPr>
      </w:r>
      <w:r>
        <w:rPr>
          <w:rFonts w:ascii="Times New Roman" w:hAnsi="Times New Roman" w:cs="Times New Roman"/>
          <w:color w:val="auto"/>
          <w:sz w:val="16"/>
          <w:szCs w:val="16"/>
          <w:highlight w:val="white"/>
          <w:u w:val="none"/>
        </w:rPr>
      </w:r>
    </w:p>
    <w:p>
      <w:pPr>
        <w:pStyle w:val="1313"/>
        <w:ind w:firstLine="720"/>
        <w:spacing w:line="240" w:lineRule="atLeast"/>
        <w:rPr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highlight w:val="white"/>
          <w:u w:val="none"/>
        </w:rPr>
        <w:t xml:space="preserve">2.3. за счет средств, переданных из краевого бюджета на выполнение полномочий городского округа, -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кассовое исполнение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составляет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4 857 567,1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                    тыс. руб.,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или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95,5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кассового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плана отчетного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периода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– 5 087 401,1 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ыс. руб.        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 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42,2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г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одовых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ассигнований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Исполнение расходов за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январ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ь-август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2025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года составляло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4 098 842,8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тыс. руб., или </w:t>
      </w:r>
      <w:r>
        <w:rPr>
          <w:rFonts w:ascii="Times New Roman" w:hAnsi="Times New Roman" w:eastAsia="Times New Roman" w:cs="Times New Roman"/>
          <w:b/>
          <w:bCs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95,5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  <w:u w:val="none"/>
        </w:rPr>
        <w:t xml:space="preserve">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кассового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плана отчетного периода 2025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года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41,3</w:t>
      </w:r>
      <w:r>
        <w:rPr>
          <w:rFonts w:ascii="Times New Roman" w:hAnsi="Times New Roman" w:eastAsia="Times New Roman" w:cs="Times New Roman"/>
          <w:b/>
          <w:i w:val="0"/>
          <w:strike w:val="0"/>
          <w:color w:val="auto"/>
          <w:sz w:val="28"/>
          <w:szCs w:val="28"/>
          <w:highlight w:val="white"/>
          <w:u w:val="none"/>
          <w:vertAlign w:val="baseli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от годовых ассигнований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u w:val="none"/>
        </w:rPr>
      </w:r>
    </w:p>
    <w:p>
      <w:pPr>
        <w:pStyle w:val="1313"/>
        <w:ind w:firstLine="709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ind w:firstLine="709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Расходная часть бюджета за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январь-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август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026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года по источникам финансирования в разрезе главных распорядителей бюджетных средств исполнена следующим образом.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0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2.1. Исполнение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расходов местного бюджета: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pStyle w:val="1313"/>
        <w:spacing w:line="240" w:lineRule="auto"/>
        <w:tabs>
          <w:tab w:val="num" w:pos="720" w:leader="none"/>
        </w:tabs>
        <w:rPr>
          <w:rFonts w:ascii="Times New Roman" w:hAnsi="Times New Roman" w:cs="Times New Roman"/>
          <w:b/>
          <w:color w:val="ff0000"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b/>
          <w:color w:val="ff0000"/>
          <w:sz w:val="16"/>
          <w:szCs w:val="16"/>
          <w:highlight w:val="white"/>
        </w:rPr>
      </w:r>
      <w:r>
        <w:rPr>
          <w:rFonts w:ascii="Times New Roman" w:hAnsi="Times New Roman" w:cs="Times New Roman"/>
          <w:b/>
          <w:color w:val="ff0000"/>
          <w:sz w:val="16"/>
          <w:szCs w:val="16"/>
          <w:highlight w:val="white"/>
        </w:rPr>
      </w:r>
      <w:r>
        <w:rPr>
          <w:rFonts w:ascii="Times New Roman" w:hAnsi="Times New Roman" w:cs="Times New Roman"/>
          <w:b/>
          <w:color w:val="ff0000"/>
          <w:sz w:val="16"/>
          <w:szCs w:val="16"/>
          <w:highlight w:val="white"/>
        </w:rPr>
      </w:r>
    </w:p>
    <w:p>
      <w:pPr>
        <w:pStyle w:val="1313"/>
        <w:ind w:firstLine="709"/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выше 95,0 %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обеспечено следующими главными распорядителями бюджетных средств: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избирательная комиссия Пермского края – на уровне 100,0%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управлением записи актов гражданского состояния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100,0%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администрацией города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99,8%;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ом социальной политики – на уровне 99,7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Индустриального района – на уровне 99,7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8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администрацией Свердловского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99,6%;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образования – 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99,3%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 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3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администрацией Орджоникидзевского района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99,3%;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администрацией Дзержинского района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99,2%;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администрацией Ленинского района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98,8%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2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контрольно–счетной палаты города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98,7%;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ом финансов – 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98,6%;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общественной безопасности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98,3%;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4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земельных отношений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98,3%;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управлением по экологии и природопользованию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контрольным департаментом – на уровне 98,1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8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управлением жилищных отношений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98,1%;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управления капитального строительства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97,8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комитетом по физкультуре и спорту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97,6%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58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имущественных отношений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97,4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20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культуры и молодежной политики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97,7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0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епартаментом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экономики и промышленной политики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97,0%;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79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Мотовилихинского района – 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97,0%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7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департамента дорог и благоустройства</w:t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 – на уровне 95,9</w:t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 транспорта – на уровне </w:t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 95,6%;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ей Кировского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95,4%.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0" w:firstLine="0"/>
        <w:spacing w:line="240" w:lineRule="auto"/>
        <w:rPr>
          <w:rFonts w:ascii="Times New Roman" w:hAnsi="Times New Roman" w:cs="Times New Roman"/>
          <w:color w:val="ff0000"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color w:val="ff0000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ff0000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ff0000"/>
          <w:sz w:val="16"/>
          <w:szCs w:val="16"/>
          <w:highlight w:val="white"/>
        </w:rPr>
      </w:r>
    </w:p>
    <w:p>
      <w:pPr>
        <w:pStyle w:val="1313"/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28"/>
          <w:highlight w:val="white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8"/>
          <w:highlight w:val="white"/>
        </w:rPr>
        <w:t xml:space="preserve">ниже уровня 95,0 %</w:t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 сложилось исполнение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 следующих главных распорядителей бюджетных средств: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firstLine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Пермской городской Думы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88,6%;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градостроительства и архитектуры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85,7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7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п. Новые Ляды – на уровне 85,6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департамента жилищно-коммунального хозяйства – на уровне  78,2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360" w:firstLine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pStyle w:val="1313"/>
        <w:spacing w:line="240" w:lineRule="auto"/>
        <w:tabs>
          <w:tab w:val="num" w:pos="900" w:leader="none"/>
        </w:tabs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2.2. Исполнение расходов по переданным государственным полномочиям: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spacing w:line="240" w:lineRule="auto"/>
        <w:tabs>
          <w:tab w:val="num" w:pos="900" w:leader="none"/>
        </w:tabs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spacing w:line="240" w:lineRule="auto"/>
        <w:tabs>
          <w:tab w:val="num" w:pos="900" w:leader="none"/>
        </w:tabs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          выше 95,0 %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обеспечено следующими главными распорядителями бюджетных средств: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культуры и молодежной политики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0,0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numPr>
          <w:ilvl w:val="0"/>
          <w:numId w:val="207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образования – на уровне  100,0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06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жилищно-коммунального хозяйства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100,0%;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3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общественной безопасности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100,0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06"/>
        </w:numPr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комитетом по физкультуре и спорту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100,0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numPr>
          <w:ilvl w:val="0"/>
          <w:numId w:val="213"/>
        </w:numPr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администрацией Индустриального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98,1%;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numPr>
          <w:ilvl w:val="0"/>
          <w:numId w:val="209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департамента дорог и благоустройства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97,9%;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08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Дзержинского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96,3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12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транспорта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96,0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08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управления жилищных отношений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95,8%;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управлением записи актов гражданского состояния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95,4%.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firstLine="349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 ниже 95,0 %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сложилось исполнение у следующих главных распорядителей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 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юджетных средств: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numPr>
          <w:ilvl w:val="0"/>
          <w:numId w:val="12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Свердловского района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92,4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Орджоникидзевского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91,3%;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Кировского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90,5%;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numPr>
          <w:ilvl w:val="0"/>
          <w:numId w:val="112"/>
        </w:numPr>
        <w:contextualSpacing w:val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ом социальной политики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89,3%;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11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Мотовилихинского района – 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 уровне 86,3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администрации п. Новые Ляды – 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81,7%;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pStyle w:val="1313"/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дминистрации Ленинского района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76,8%;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10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highlight w:val="white"/>
        </w:rPr>
        <w:t xml:space="preserve">контрольного департамента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74,8%;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управления по экологии и природопользованию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70,3%.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ind w:left="360" w:firstLine="0"/>
        <w:spacing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ind w:left="709" w:firstLine="0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2.3. Исполнение расходов по средствам, переданным из краевого бюджета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pStyle w:val="1313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          на выполнение полномочий городского округа: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выше 95,0 %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обеспечено следующими главными распорядителями бюджетных средств: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6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управлением по экологии и природопользованию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 100,0%;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1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культуры и молодежной политики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100,0%;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1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образования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– на уровне  100,0%;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numPr>
          <w:ilvl w:val="0"/>
          <w:numId w:val="114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дорог и благоустройства – на уровне 100,0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numPr>
          <w:ilvl w:val="0"/>
          <w:numId w:val="11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ом социальной политики – на уровне  100,0%;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r>
    </w:p>
    <w:p>
      <w:pPr>
        <w:numPr>
          <w:ilvl w:val="0"/>
          <w:numId w:val="16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комитетом по физкультуре и спорту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16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управления жилищных отношений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97,9%.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1313"/>
        <w:numPr>
          <w:ilvl w:val="0"/>
          <w:numId w:val="11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управлени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капитального строительства – на уровне  96,9%;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360" w:firstLine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white"/>
        </w:rPr>
        <w:t xml:space="preserve">ниже 95,0 %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сложилось исполнение у следующего главного распорядителя 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юджетных средств: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numPr>
          <w:ilvl w:val="0"/>
          <w:numId w:val="221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общественной безопасности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88,2%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19"/>
        </w:numPr>
        <w:spacing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департаментом жилищно-коммунального хозяйства – на уровне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82,2%;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numPr>
          <w:ilvl w:val="0"/>
          <w:numId w:val="219"/>
        </w:numPr>
        <w:spacing w:line="240" w:lineRule="auto"/>
        <w:rPr>
          <w:rFonts w:ascii="Times New Roman" w:hAnsi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епартамента транспорта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– на уровне 65,2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663" w:right="567" w:bottom="249" w:left="794" w:header="709" w:footer="482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5"/>
      <w:jc w:val="right"/>
    </w:pPr>
    <w:fldSimple w:instr="PAGE \* MERGEFORMAT">
      <w:r>
        <w:t xml:space="preserve">1</w:t>
      </w:r>
    </w:fldSimple>
    <w:r/>
    <w:r/>
  </w:p>
  <w:p>
    <w:pPr>
      <w:pStyle w:val="116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9"/>
      <w:rPr>
        <w:rStyle w:val="1321"/>
        <w:sz w:val="23"/>
        <w:szCs w:val="23"/>
      </w:rPr>
      <w:framePr w:wrap="around" w:vAnchor="text" w:hAnchor="margin" w:xAlign="right" w:y="1"/>
    </w:pPr>
    <w:r>
      <w:rPr>
        <w:rStyle w:val="1321"/>
        <w:sz w:val="23"/>
        <w:szCs w:val="23"/>
      </w:rPr>
      <w:fldChar w:fldCharType="begin"/>
    </w:r>
    <w:r>
      <w:rPr>
        <w:rStyle w:val="1321"/>
        <w:sz w:val="23"/>
        <w:szCs w:val="23"/>
      </w:rPr>
      <w:instrText xml:space="preserve">PAGE  </w:instrText>
    </w:r>
    <w:r>
      <w:rPr>
        <w:rStyle w:val="1321"/>
        <w:sz w:val="23"/>
        <w:szCs w:val="23"/>
      </w:rPr>
      <w:fldChar w:fldCharType="end"/>
    </w:r>
    <w:r>
      <w:rPr>
        <w:rStyle w:val="1321"/>
        <w:sz w:val="23"/>
        <w:szCs w:val="23"/>
      </w:rPr>
    </w:r>
    <w:r>
      <w:rPr>
        <w:rStyle w:val="1321"/>
        <w:sz w:val="23"/>
        <w:szCs w:val="23"/>
      </w:rPr>
    </w:r>
  </w:p>
  <w:p>
    <w:pPr>
      <w:pStyle w:val="1319"/>
      <w:ind w:right="360"/>
      <w:rPr>
        <w:sz w:val="23"/>
        <w:szCs w:val="23"/>
      </w:rPr>
    </w:pPr>
    <w:r>
      <w:rPr>
        <w:sz w:val="23"/>
        <w:szCs w:val="23"/>
      </w:rPr>
    </w:r>
    <w:r>
      <w:rPr>
        <w:sz w:val="23"/>
        <w:szCs w:val="23"/>
      </w:rPr>
    </w:r>
    <w:r>
      <w:rPr>
        <w:sz w:val="23"/>
        <w:szCs w:val="23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41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3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5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7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29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1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3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5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71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firstLine="0"/>
        <w:tabs>
          <w:tab w:val="num" w:pos="1724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125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7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5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69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3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1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952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2055" w:hanging="1335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15" w:hanging="1335"/>
      </w:pPr>
      <w:rPr>
        <w:b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75" w:hanging="1335"/>
      </w:pPr>
      <w:rPr>
        <w:b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35" w:hanging="1335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95" w:hanging="1335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55" w:hanging="1335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15" w:hanging="1335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75" w:hanging="1335"/>
      </w:pPr>
      <w:rPr>
        <w:b/>
        <w:color w:val="00000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126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960" w:hanging="216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64" w:hanging="284"/>
        <w:tabs>
          <w:tab w:val="num" w:pos="464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95" w:hanging="360"/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  <w:tabs>
          <w:tab w:val="num" w:pos="50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31"/>
  </w:num>
  <w:num w:numId="3">
    <w:abstractNumId w:val="8"/>
    <w:lvlOverride w:ilvl="0">
      <w:startOverride w:val="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3"/>
  </w:num>
  <w:num w:numId="6">
    <w:abstractNumId w:val="8"/>
  </w:num>
  <w:num w:numId="7">
    <w:abstractNumId w:val="8"/>
    <w:lvlOverride w:ilvl="0">
      <w:startOverride w:val="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25"/>
  </w:num>
  <w:num w:numId="10">
    <w:abstractNumId w:val="12"/>
  </w:num>
  <w:num w:numId="11">
    <w:abstractNumId w:val="26"/>
    <w:lvlOverride w:ilvl="0">
      <w:startOverride w:val="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6"/>
  </w:num>
  <w:num w:numId="18">
    <w:abstractNumId w:val="17"/>
  </w:num>
  <w:num w:numId="19">
    <w:abstractNumId w:val="11"/>
  </w:num>
  <w:num w:numId="20">
    <w:abstractNumId w:val="23"/>
  </w:num>
  <w:num w:numId="21">
    <w:abstractNumId w:val="20"/>
  </w:num>
  <w:num w:numId="22">
    <w:abstractNumId w:val="15"/>
  </w:num>
  <w:num w:numId="23">
    <w:abstractNumId w:val="1"/>
  </w:num>
  <w:num w:numId="24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1"/>
  </w:num>
  <w:num w:numId="27">
    <w:abstractNumId w:val="30"/>
  </w:num>
  <w:num w:numId="28">
    <w:abstractNumId w:val="5"/>
  </w:num>
  <w:num w:numId="29">
    <w:abstractNumId w:val="19"/>
  </w:num>
  <w:num w:numId="30">
    <w:abstractNumId w:val="10"/>
  </w:num>
  <w:num w:numId="31">
    <w:abstractNumId w:val="8"/>
  </w:num>
  <w:num w:numId="32">
    <w:abstractNumId w:val="18"/>
  </w:num>
  <w:num w:numId="33">
    <w:abstractNumId w:val="2"/>
  </w:num>
  <w:num w:numId="34">
    <w:abstractNumId w:val="7"/>
  </w:num>
  <w:num w:numId="35">
    <w:abstractNumId w:val="22"/>
  </w:num>
  <w:num w:numId="36">
    <w:abstractNumId w:val="16"/>
  </w:num>
  <w:num w:numId="37">
    <w:abstractNumId w:val="28"/>
  </w:num>
  <w:num w:numId="38">
    <w:abstractNumId w:val="3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 w:numId="94">
    <w:abstractNumId w:val="87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 w:numId="204">
    <w:abstractNumId w:val="197"/>
  </w:num>
  <w:num w:numId="205">
    <w:abstractNumId w:val="198"/>
  </w:num>
  <w:num w:numId="206">
    <w:abstractNumId w:val="199"/>
  </w:num>
  <w:num w:numId="207">
    <w:abstractNumId w:val="200"/>
  </w:num>
  <w:num w:numId="208">
    <w:abstractNumId w:val="201"/>
  </w:num>
  <w:num w:numId="209">
    <w:abstractNumId w:val="202"/>
  </w:num>
  <w:num w:numId="210">
    <w:abstractNumId w:val="203"/>
  </w:num>
  <w:num w:numId="211">
    <w:abstractNumId w:val="204"/>
  </w:num>
  <w:num w:numId="212">
    <w:abstractNumId w:val="205"/>
  </w:num>
  <w:num w:numId="213">
    <w:abstractNumId w:val="206"/>
  </w:num>
  <w:num w:numId="214">
    <w:abstractNumId w:val="207"/>
  </w:num>
  <w:num w:numId="215">
    <w:abstractNumId w:val="208"/>
  </w:num>
  <w:num w:numId="216">
    <w:abstractNumId w:val="209"/>
  </w:num>
  <w:num w:numId="217">
    <w:abstractNumId w:val="210"/>
  </w:num>
  <w:num w:numId="218">
    <w:abstractNumId w:val="211"/>
  </w:num>
  <w:num w:numId="219">
    <w:abstractNumId w:val="212"/>
  </w:num>
  <w:num w:numId="220">
    <w:abstractNumId w:val="213"/>
  </w:num>
  <w:num w:numId="221">
    <w:abstractNumId w:val="214"/>
  </w:num>
  <w:num w:numId="222">
    <w:abstractNumId w:val="215"/>
  </w:num>
  <w:num w:numId="223">
    <w:abstractNumId w:val="216"/>
  </w:num>
  <w:num w:numId="224">
    <w:abstractNumId w:val="217"/>
  </w:num>
  <w:num w:numId="225">
    <w:abstractNumId w:val="2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35">
    <w:name w:val="Heading 1"/>
    <w:basedOn w:val="1313"/>
    <w:next w:val="1313"/>
    <w:link w:val="113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136">
    <w:name w:val="Heading 1 Char"/>
    <w:link w:val="1135"/>
    <w:uiPriority w:val="9"/>
    <w:rPr>
      <w:rFonts w:ascii="Arial" w:hAnsi="Arial" w:eastAsia="Arial" w:cs="Arial"/>
      <w:sz w:val="40"/>
      <w:szCs w:val="40"/>
    </w:rPr>
  </w:style>
  <w:style w:type="paragraph" w:styleId="1137">
    <w:name w:val="Heading 2"/>
    <w:basedOn w:val="1313"/>
    <w:next w:val="1313"/>
    <w:link w:val="113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138">
    <w:name w:val="Heading 2 Char"/>
    <w:link w:val="1137"/>
    <w:uiPriority w:val="9"/>
    <w:rPr>
      <w:rFonts w:ascii="Arial" w:hAnsi="Arial" w:eastAsia="Arial" w:cs="Arial"/>
      <w:sz w:val="34"/>
    </w:rPr>
  </w:style>
  <w:style w:type="paragraph" w:styleId="1139">
    <w:name w:val="Heading 3"/>
    <w:basedOn w:val="1313"/>
    <w:next w:val="1313"/>
    <w:link w:val="11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140">
    <w:name w:val="Heading 3 Char"/>
    <w:link w:val="1139"/>
    <w:uiPriority w:val="9"/>
    <w:rPr>
      <w:rFonts w:ascii="Arial" w:hAnsi="Arial" w:eastAsia="Arial" w:cs="Arial"/>
      <w:sz w:val="30"/>
      <w:szCs w:val="30"/>
    </w:rPr>
  </w:style>
  <w:style w:type="paragraph" w:styleId="1141">
    <w:name w:val="Heading 4"/>
    <w:basedOn w:val="1313"/>
    <w:next w:val="1313"/>
    <w:link w:val="11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142">
    <w:name w:val="Heading 4 Char"/>
    <w:link w:val="1141"/>
    <w:uiPriority w:val="9"/>
    <w:rPr>
      <w:rFonts w:ascii="Arial" w:hAnsi="Arial" w:eastAsia="Arial" w:cs="Arial"/>
      <w:b/>
      <w:bCs/>
      <w:sz w:val="26"/>
      <w:szCs w:val="26"/>
    </w:rPr>
  </w:style>
  <w:style w:type="paragraph" w:styleId="1143">
    <w:name w:val="Heading 5"/>
    <w:basedOn w:val="1313"/>
    <w:next w:val="1313"/>
    <w:link w:val="114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144">
    <w:name w:val="Heading 5 Char"/>
    <w:link w:val="1143"/>
    <w:uiPriority w:val="9"/>
    <w:rPr>
      <w:rFonts w:ascii="Arial" w:hAnsi="Arial" w:eastAsia="Arial" w:cs="Arial"/>
      <w:b/>
      <w:bCs/>
      <w:sz w:val="24"/>
      <w:szCs w:val="24"/>
    </w:rPr>
  </w:style>
  <w:style w:type="paragraph" w:styleId="1145">
    <w:name w:val="Heading 6"/>
    <w:basedOn w:val="1313"/>
    <w:next w:val="1313"/>
    <w:link w:val="114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146">
    <w:name w:val="Heading 6 Char"/>
    <w:link w:val="1145"/>
    <w:uiPriority w:val="9"/>
    <w:rPr>
      <w:rFonts w:ascii="Arial" w:hAnsi="Arial" w:eastAsia="Arial" w:cs="Arial"/>
      <w:b/>
      <w:bCs/>
      <w:sz w:val="22"/>
      <w:szCs w:val="22"/>
    </w:rPr>
  </w:style>
  <w:style w:type="paragraph" w:styleId="1147">
    <w:name w:val="Heading 7"/>
    <w:basedOn w:val="1313"/>
    <w:next w:val="1313"/>
    <w:link w:val="11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148">
    <w:name w:val="Heading 7 Char"/>
    <w:link w:val="11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149">
    <w:name w:val="Heading 8"/>
    <w:basedOn w:val="1313"/>
    <w:next w:val="1313"/>
    <w:link w:val="115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150">
    <w:name w:val="Heading 8 Char"/>
    <w:link w:val="1149"/>
    <w:uiPriority w:val="9"/>
    <w:rPr>
      <w:rFonts w:ascii="Arial" w:hAnsi="Arial" w:eastAsia="Arial" w:cs="Arial"/>
      <w:i/>
      <w:iCs/>
      <w:sz w:val="22"/>
      <w:szCs w:val="22"/>
    </w:rPr>
  </w:style>
  <w:style w:type="paragraph" w:styleId="1151">
    <w:name w:val="Heading 9"/>
    <w:basedOn w:val="1313"/>
    <w:next w:val="1313"/>
    <w:link w:val="115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152">
    <w:name w:val="Heading 9 Char"/>
    <w:link w:val="1151"/>
    <w:uiPriority w:val="9"/>
    <w:rPr>
      <w:rFonts w:ascii="Arial" w:hAnsi="Arial" w:eastAsia="Arial" w:cs="Arial"/>
      <w:i/>
      <w:iCs/>
      <w:sz w:val="21"/>
      <w:szCs w:val="21"/>
    </w:rPr>
  </w:style>
  <w:style w:type="paragraph" w:styleId="1153">
    <w:name w:val="List Paragraph"/>
    <w:basedOn w:val="1313"/>
    <w:uiPriority w:val="34"/>
    <w:qFormat/>
    <w:pPr>
      <w:contextualSpacing/>
      <w:ind w:left="720"/>
    </w:pPr>
  </w:style>
  <w:style w:type="paragraph" w:styleId="1154">
    <w:name w:val="No Spacing"/>
    <w:uiPriority w:val="1"/>
    <w:qFormat/>
    <w:pPr>
      <w:spacing w:before="0" w:after="0" w:line="240" w:lineRule="auto"/>
    </w:pPr>
  </w:style>
  <w:style w:type="paragraph" w:styleId="1155">
    <w:name w:val="Title"/>
    <w:basedOn w:val="1313"/>
    <w:next w:val="1313"/>
    <w:link w:val="115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156">
    <w:name w:val="Title Char"/>
    <w:link w:val="1155"/>
    <w:uiPriority w:val="10"/>
    <w:rPr>
      <w:sz w:val="48"/>
      <w:szCs w:val="48"/>
    </w:rPr>
  </w:style>
  <w:style w:type="paragraph" w:styleId="1157">
    <w:name w:val="Subtitle"/>
    <w:basedOn w:val="1313"/>
    <w:next w:val="1313"/>
    <w:link w:val="1158"/>
    <w:uiPriority w:val="11"/>
    <w:qFormat/>
    <w:pPr>
      <w:spacing w:before="200" w:after="200"/>
    </w:pPr>
    <w:rPr>
      <w:sz w:val="24"/>
      <w:szCs w:val="24"/>
    </w:rPr>
  </w:style>
  <w:style w:type="character" w:styleId="1158">
    <w:name w:val="Subtitle Char"/>
    <w:link w:val="1157"/>
    <w:uiPriority w:val="11"/>
    <w:rPr>
      <w:sz w:val="24"/>
      <w:szCs w:val="24"/>
    </w:rPr>
  </w:style>
  <w:style w:type="paragraph" w:styleId="1159">
    <w:name w:val="Quote"/>
    <w:basedOn w:val="1313"/>
    <w:next w:val="1313"/>
    <w:link w:val="1160"/>
    <w:uiPriority w:val="29"/>
    <w:qFormat/>
    <w:pPr>
      <w:ind w:left="720" w:right="720"/>
    </w:pPr>
    <w:rPr>
      <w:i/>
    </w:rPr>
  </w:style>
  <w:style w:type="character" w:styleId="1160">
    <w:name w:val="Quote Char"/>
    <w:link w:val="1159"/>
    <w:uiPriority w:val="29"/>
    <w:rPr>
      <w:i/>
    </w:rPr>
  </w:style>
  <w:style w:type="paragraph" w:styleId="1161">
    <w:name w:val="Intense Quote"/>
    <w:basedOn w:val="1313"/>
    <w:next w:val="1313"/>
    <w:link w:val="116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62">
    <w:name w:val="Intense Quote Char"/>
    <w:link w:val="1161"/>
    <w:uiPriority w:val="30"/>
    <w:rPr>
      <w:i/>
    </w:rPr>
  </w:style>
  <w:style w:type="paragraph" w:styleId="1163">
    <w:name w:val="Header"/>
    <w:basedOn w:val="1313"/>
    <w:link w:val="11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164">
    <w:name w:val="Header Char"/>
    <w:link w:val="1163"/>
    <w:uiPriority w:val="99"/>
  </w:style>
  <w:style w:type="paragraph" w:styleId="1165">
    <w:name w:val="Footer"/>
    <w:basedOn w:val="1313"/>
    <w:link w:val="11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166">
    <w:name w:val="Footer Char"/>
    <w:link w:val="1165"/>
    <w:uiPriority w:val="99"/>
  </w:style>
  <w:style w:type="paragraph" w:styleId="1167">
    <w:name w:val="Caption"/>
    <w:basedOn w:val="1313"/>
    <w:next w:val="1313"/>
    <w:link w:val="116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168">
    <w:name w:val="Caption Char"/>
    <w:basedOn w:val="1167"/>
    <w:link w:val="1165"/>
    <w:uiPriority w:val="99"/>
  </w:style>
  <w:style w:type="table" w:styleId="116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7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7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7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7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9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9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20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20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20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20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20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20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20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20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20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20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21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21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21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21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21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21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21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21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21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23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23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23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23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23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23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3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6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6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6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6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6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6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6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6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26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26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27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27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27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27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27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7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7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7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7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7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8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8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8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8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8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8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8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8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8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8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9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9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9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9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9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95">
    <w:name w:val="Hyperlink"/>
    <w:uiPriority w:val="99"/>
    <w:unhideWhenUsed/>
    <w:rPr>
      <w:color w:val="0000ff" w:themeColor="hyperlink"/>
      <w:u w:val="single"/>
    </w:rPr>
  </w:style>
  <w:style w:type="paragraph" w:styleId="1296">
    <w:name w:val="footnote text"/>
    <w:basedOn w:val="1313"/>
    <w:link w:val="1297"/>
    <w:uiPriority w:val="99"/>
    <w:semiHidden/>
    <w:unhideWhenUsed/>
    <w:pPr>
      <w:spacing w:after="40" w:line="240" w:lineRule="auto"/>
    </w:pPr>
    <w:rPr>
      <w:sz w:val="18"/>
    </w:rPr>
  </w:style>
  <w:style w:type="character" w:styleId="1297">
    <w:name w:val="Footnote Text Char"/>
    <w:link w:val="1296"/>
    <w:uiPriority w:val="99"/>
    <w:rPr>
      <w:sz w:val="18"/>
    </w:rPr>
  </w:style>
  <w:style w:type="character" w:styleId="1298">
    <w:name w:val="footnote reference"/>
    <w:uiPriority w:val="99"/>
    <w:unhideWhenUsed/>
    <w:rPr>
      <w:vertAlign w:val="superscript"/>
    </w:rPr>
  </w:style>
  <w:style w:type="paragraph" w:styleId="1299">
    <w:name w:val="endnote text"/>
    <w:basedOn w:val="1313"/>
    <w:link w:val="1300"/>
    <w:uiPriority w:val="99"/>
    <w:semiHidden/>
    <w:unhideWhenUsed/>
    <w:pPr>
      <w:spacing w:after="0" w:line="240" w:lineRule="auto"/>
    </w:pPr>
    <w:rPr>
      <w:sz w:val="20"/>
    </w:rPr>
  </w:style>
  <w:style w:type="character" w:styleId="1300">
    <w:name w:val="Endnote Text Char"/>
    <w:link w:val="1299"/>
    <w:uiPriority w:val="99"/>
    <w:rPr>
      <w:sz w:val="20"/>
    </w:rPr>
  </w:style>
  <w:style w:type="character" w:styleId="1301">
    <w:name w:val="endnote reference"/>
    <w:uiPriority w:val="99"/>
    <w:semiHidden/>
    <w:unhideWhenUsed/>
    <w:rPr>
      <w:vertAlign w:val="superscript"/>
    </w:rPr>
  </w:style>
  <w:style w:type="paragraph" w:styleId="1302">
    <w:name w:val="toc 1"/>
    <w:basedOn w:val="1313"/>
    <w:next w:val="1313"/>
    <w:uiPriority w:val="39"/>
    <w:unhideWhenUsed/>
    <w:pPr>
      <w:ind w:left="0" w:right="0" w:firstLine="0"/>
      <w:spacing w:after="57"/>
    </w:pPr>
  </w:style>
  <w:style w:type="paragraph" w:styleId="1303">
    <w:name w:val="toc 2"/>
    <w:basedOn w:val="1313"/>
    <w:next w:val="1313"/>
    <w:uiPriority w:val="39"/>
    <w:unhideWhenUsed/>
    <w:pPr>
      <w:ind w:left="283" w:right="0" w:firstLine="0"/>
      <w:spacing w:after="57"/>
    </w:pPr>
  </w:style>
  <w:style w:type="paragraph" w:styleId="1304">
    <w:name w:val="toc 3"/>
    <w:basedOn w:val="1313"/>
    <w:next w:val="1313"/>
    <w:uiPriority w:val="39"/>
    <w:unhideWhenUsed/>
    <w:pPr>
      <w:ind w:left="567" w:right="0" w:firstLine="0"/>
      <w:spacing w:after="57"/>
    </w:pPr>
  </w:style>
  <w:style w:type="paragraph" w:styleId="1305">
    <w:name w:val="toc 4"/>
    <w:basedOn w:val="1313"/>
    <w:next w:val="1313"/>
    <w:uiPriority w:val="39"/>
    <w:unhideWhenUsed/>
    <w:pPr>
      <w:ind w:left="850" w:right="0" w:firstLine="0"/>
      <w:spacing w:after="57"/>
    </w:pPr>
  </w:style>
  <w:style w:type="paragraph" w:styleId="1306">
    <w:name w:val="toc 5"/>
    <w:basedOn w:val="1313"/>
    <w:next w:val="1313"/>
    <w:uiPriority w:val="39"/>
    <w:unhideWhenUsed/>
    <w:pPr>
      <w:ind w:left="1134" w:right="0" w:firstLine="0"/>
      <w:spacing w:after="57"/>
    </w:pPr>
  </w:style>
  <w:style w:type="paragraph" w:styleId="1307">
    <w:name w:val="toc 6"/>
    <w:basedOn w:val="1313"/>
    <w:next w:val="1313"/>
    <w:uiPriority w:val="39"/>
    <w:unhideWhenUsed/>
    <w:pPr>
      <w:ind w:left="1417" w:right="0" w:firstLine="0"/>
      <w:spacing w:after="57"/>
    </w:pPr>
  </w:style>
  <w:style w:type="paragraph" w:styleId="1308">
    <w:name w:val="toc 7"/>
    <w:basedOn w:val="1313"/>
    <w:next w:val="1313"/>
    <w:uiPriority w:val="39"/>
    <w:unhideWhenUsed/>
    <w:pPr>
      <w:ind w:left="1701" w:right="0" w:firstLine="0"/>
      <w:spacing w:after="57"/>
    </w:pPr>
  </w:style>
  <w:style w:type="paragraph" w:styleId="1309">
    <w:name w:val="toc 8"/>
    <w:basedOn w:val="1313"/>
    <w:next w:val="1313"/>
    <w:uiPriority w:val="39"/>
    <w:unhideWhenUsed/>
    <w:pPr>
      <w:ind w:left="1984" w:right="0" w:firstLine="0"/>
      <w:spacing w:after="57"/>
    </w:pPr>
  </w:style>
  <w:style w:type="paragraph" w:styleId="1310">
    <w:name w:val="toc 9"/>
    <w:basedOn w:val="1313"/>
    <w:next w:val="1313"/>
    <w:uiPriority w:val="39"/>
    <w:unhideWhenUsed/>
    <w:pPr>
      <w:ind w:left="2268" w:right="0" w:firstLine="0"/>
      <w:spacing w:after="57"/>
    </w:pPr>
  </w:style>
  <w:style w:type="paragraph" w:styleId="1311">
    <w:name w:val="TOC Heading"/>
    <w:uiPriority w:val="39"/>
    <w:unhideWhenUsed/>
  </w:style>
  <w:style w:type="paragraph" w:styleId="1312">
    <w:name w:val="table of figures"/>
    <w:basedOn w:val="1313"/>
    <w:next w:val="1313"/>
    <w:uiPriority w:val="99"/>
    <w:unhideWhenUsed/>
    <w:pPr>
      <w:spacing w:after="0" w:afterAutospacing="0"/>
    </w:pPr>
  </w:style>
  <w:style w:type="paragraph" w:styleId="1313" w:default="1">
    <w:name w:val="Normal"/>
    <w:next w:val="1313"/>
    <w:link w:val="1313"/>
    <w:qFormat/>
    <w:pPr>
      <w:jc w:val="both"/>
      <w:spacing w:line="360" w:lineRule="atLeast"/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1314">
    <w:name w:val="Основной шрифт абзаца"/>
    <w:next w:val="1314"/>
    <w:link w:val="1313"/>
    <w:uiPriority w:val="1"/>
    <w:unhideWhenUsed/>
  </w:style>
  <w:style w:type="table" w:styleId="1315">
    <w:name w:val="Обычная таблица"/>
    <w:next w:val="1315"/>
    <w:link w:val="1313"/>
    <w:uiPriority w:val="99"/>
    <w:semiHidden/>
    <w:unhideWhenUsed/>
    <w:qFormat/>
    <w:tblPr/>
  </w:style>
  <w:style w:type="numbering" w:styleId="1316">
    <w:name w:val="Нет списка"/>
    <w:next w:val="1316"/>
    <w:link w:val="1313"/>
    <w:uiPriority w:val="99"/>
    <w:semiHidden/>
    <w:unhideWhenUsed/>
  </w:style>
  <w:style w:type="paragraph" w:styleId="1317">
    <w:name w:val="Основной текст с отступом"/>
    <w:basedOn w:val="1313"/>
    <w:next w:val="1317"/>
    <w:link w:val="1318"/>
    <w:pPr>
      <w:ind w:firstLine="720"/>
      <w:spacing w:line="360" w:lineRule="auto"/>
    </w:pPr>
    <w:rPr>
      <w:sz w:val="28"/>
      <w:szCs w:val="20"/>
      <w:lang w:val="en-US"/>
    </w:rPr>
  </w:style>
  <w:style w:type="character" w:styleId="1318">
    <w:name w:val="Основной текст с отступом Знак"/>
    <w:next w:val="1318"/>
    <w:link w:val="1317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19">
    <w:name w:val="Нижний колонтитул"/>
    <w:basedOn w:val="1313"/>
    <w:next w:val="1319"/>
    <w:link w:val="1320"/>
    <w:uiPriority w:val="99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1320">
    <w:name w:val="Нижний колонтитул Знак"/>
    <w:next w:val="1320"/>
    <w:link w:val="131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321">
    <w:name w:val="Номер страницы"/>
    <w:basedOn w:val="1314"/>
    <w:next w:val="1321"/>
    <w:link w:val="1313"/>
  </w:style>
  <w:style w:type="paragraph" w:styleId="1322">
    <w:name w:val="Основной текст с отступом 2"/>
    <w:basedOn w:val="1313"/>
    <w:next w:val="1322"/>
    <w:link w:val="1323"/>
    <w:pPr>
      <w:ind w:firstLine="720"/>
    </w:pPr>
    <w:rPr>
      <w:b/>
      <w:sz w:val="32"/>
      <w:szCs w:val="32"/>
      <w:lang w:val="en-US"/>
    </w:rPr>
  </w:style>
  <w:style w:type="character" w:styleId="1323">
    <w:name w:val="Основной текст с отступом 2 Знак"/>
    <w:next w:val="1323"/>
    <w:link w:val="1322"/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1324">
    <w:name w:val="Абзац списка"/>
    <w:basedOn w:val="1313"/>
    <w:next w:val="1324"/>
    <w:link w:val="1313"/>
    <w:uiPriority w:val="34"/>
    <w:qFormat/>
    <w:pPr>
      <w:contextualSpacing/>
      <w:ind w:left="720"/>
      <w:jc w:val="left"/>
      <w:spacing w:after="200" w:line="276" w:lineRule="auto"/>
      <w:widowControl/>
    </w:pPr>
    <w:rPr>
      <w:rFonts w:ascii="Calibri" w:hAnsi="Calibri" w:eastAsia="Calibri"/>
      <w:sz w:val="22"/>
      <w:szCs w:val="22"/>
      <w:lang w:eastAsia="en-US"/>
    </w:rPr>
  </w:style>
  <w:style w:type="paragraph" w:styleId="1325">
    <w:name w:val="Текст выноски"/>
    <w:basedOn w:val="1313"/>
    <w:next w:val="1325"/>
    <w:link w:val="1326"/>
    <w:uiPriority w:val="99"/>
    <w:semiHidden/>
    <w:unhideWhenUsed/>
    <w:pPr>
      <w:spacing w:line="240" w:lineRule="auto"/>
    </w:pPr>
    <w:rPr>
      <w:rFonts w:ascii="Tahoma" w:hAnsi="Tahoma"/>
      <w:sz w:val="16"/>
      <w:szCs w:val="16"/>
      <w:lang w:val="en-US"/>
    </w:rPr>
  </w:style>
  <w:style w:type="character" w:styleId="1326">
    <w:name w:val="Текст выноски Знак"/>
    <w:next w:val="1326"/>
    <w:link w:val="132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1327">
    <w:name w:val="Верхний колонтитул, Знак"/>
    <w:basedOn w:val="1313"/>
    <w:next w:val="1327"/>
    <w:link w:val="1328"/>
    <w:uiPriority w:val="99"/>
    <w:semiHidden/>
    <w:unhideWhenUsed/>
    <w:pPr>
      <w:spacing w:line="240" w:lineRule="auto"/>
      <w:tabs>
        <w:tab w:val="center" w:pos="4677" w:leader="none"/>
        <w:tab w:val="right" w:pos="9355" w:leader="none"/>
      </w:tabs>
    </w:pPr>
    <w:rPr>
      <w:lang w:val="en-US"/>
    </w:rPr>
  </w:style>
  <w:style w:type="character" w:styleId="1328">
    <w:name w:val="Верхний колонтитул Знак, Знак Знак1"/>
    <w:next w:val="1328"/>
    <w:link w:val="1327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29">
    <w:name w:val="Основной текст"/>
    <w:basedOn w:val="1313"/>
    <w:next w:val="1329"/>
    <w:link w:val="1330"/>
    <w:uiPriority w:val="99"/>
    <w:unhideWhenUsed/>
    <w:pPr>
      <w:spacing w:after="120"/>
    </w:pPr>
  </w:style>
  <w:style w:type="character" w:styleId="1330">
    <w:name w:val="Основной текст Знак"/>
    <w:next w:val="1330"/>
    <w:link w:val="1329"/>
    <w:uiPriority w:val="99"/>
    <w:rPr>
      <w:rFonts w:ascii="Times New Roman" w:hAnsi="Times New Roman" w:eastAsia="Times New Roman"/>
      <w:sz w:val="24"/>
      <w:szCs w:val="24"/>
    </w:rPr>
  </w:style>
  <w:style w:type="paragraph" w:styleId="1331">
    <w:name w:val="Исполнитель"/>
    <w:basedOn w:val="1329"/>
    <w:next w:val="1331"/>
    <w:link w:val="1313"/>
    <w:pPr>
      <w:jc w:val="left"/>
      <w:spacing w:line="240" w:lineRule="exact"/>
      <w:widowControl/>
    </w:pPr>
    <w:rPr>
      <w:szCs w:val="20"/>
    </w:rPr>
  </w:style>
  <w:style w:type="character" w:styleId="1332" w:default="1">
    <w:name w:val="Default Paragraph Font"/>
    <w:uiPriority w:val="1"/>
    <w:semiHidden/>
    <w:unhideWhenUsed/>
  </w:style>
  <w:style w:type="numbering" w:styleId="1333" w:default="1">
    <w:name w:val="No List"/>
    <w:uiPriority w:val="99"/>
    <w:semiHidden/>
    <w:unhideWhenUsed/>
  </w:style>
  <w:style w:type="table" w:styleId="133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Департамент финансов админситрации г.Перми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письму  ОПЕРАТИВНЫЙ АНАЛИЗ ИСПОЛНЕНИЯ БЮДЖЕТА ГОРОДА ПЕРМИ НА 1 МАРТА 2012 ГОДА  ПОЯСНИТЕЛЬНАЯ ЗАПИСКА  Исполне</dc:title>
  <dc:creator>Dep_Fin</dc:creator>
  <cp:lastModifiedBy>koriakina-da</cp:lastModifiedBy>
  <cp:revision>4424</cp:revision>
  <dcterms:created xsi:type="dcterms:W3CDTF">2022-06-10T10:27:00Z</dcterms:created>
  <dcterms:modified xsi:type="dcterms:W3CDTF">2026-09-11T04:13:29Z</dcterms:modified>
  <cp:version>983040</cp:version>
</cp:coreProperties>
</file>