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b/>
          <w:bCs/>
          <w:caps/>
          <w:color w:val="000000" w:themeColor="text1"/>
          <w:sz w:val="32"/>
          <w:szCs w:val="32"/>
        </w:rPr>
      </w:pPr>
      <w:r>
        <w:rPr>
          <w:b/>
          <w:bCs/>
          <w:caps/>
          <w:color w:val="000000" w:themeColor="text1"/>
          <w:sz w:val="32"/>
          <w:szCs w:val="32"/>
        </w:rPr>
      </w:r>
      <w:r>
        <w:rPr>
          <w:b/>
          <w:bCs/>
          <w:caps/>
          <w:color w:val="000000" w:themeColor="text1"/>
          <w:sz w:val="32"/>
          <w:szCs w:val="32"/>
        </w:rPr>
      </w:r>
      <w:r>
        <w:rPr>
          <w:b/>
          <w:bCs/>
          <w:caps/>
          <w:color w:val="000000" w:themeColor="text1"/>
          <w:sz w:val="32"/>
          <w:szCs w:val="32"/>
        </w:rPr>
      </w:r>
    </w:p>
    <w:p>
      <w:pPr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ОПЕРАТИВНЫЙ АНАЛИЗ Исполнения бюджета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города Перми на 1 </w:t>
      </w:r>
      <w:r>
        <w:rPr>
          <w:b/>
          <w:caps/>
          <w:color w:val="auto"/>
          <w:sz w:val="32"/>
          <w:szCs w:val="32"/>
        </w:rPr>
        <w:t xml:space="preserve">ОКТЯБРЯ </w:t>
      </w:r>
      <w:r>
        <w:rPr>
          <w:b/>
          <w:caps/>
          <w:color w:val="auto"/>
          <w:sz w:val="32"/>
          <w:szCs w:val="32"/>
        </w:rPr>
        <w:t xml:space="preserve">2025 года 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jc w:val="center"/>
        <w:spacing w:line="240" w:lineRule="auto"/>
        <w:rPr>
          <w:b/>
          <w:caps/>
          <w:color w:val="auto"/>
          <w:sz w:val="16"/>
          <w:szCs w:val="16"/>
        </w:rPr>
      </w:pPr>
      <w:r>
        <w:rPr>
          <w:b/>
          <w:caps/>
          <w:color w:val="auto"/>
          <w:sz w:val="16"/>
          <w:szCs w:val="16"/>
        </w:rPr>
      </w:r>
      <w:r>
        <w:rPr>
          <w:b/>
          <w:caps/>
          <w:color w:val="auto"/>
          <w:sz w:val="16"/>
          <w:szCs w:val="16"/>
        </w:rPr>
      </w:r>
      <w:r>
        <w:rPr>
          <w:b/>
          <w:caps/>
          <w:color w:val="auto"/>
          <w:sz w:val="16"/>
          <w:szCs w:val="16"/>
        </w:rPr>
      </w:r>
    </w:p>
    <w:p>
      <w:pPr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пояснительная записка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бюджета города Перми по состоянию на 1 октября</w:t>
      </w:r>
      <w:r>
        <w:rPr>
          <w:color w:val="auto"/>
          <w:sz w:val="28"/>
          <w:szCs w:val="28"/>
        </w:rPr>
        <w:t xml:space="preserve"> 2025 года                     по оперативным данным характеризуется следующими показателями: </w:t>
      </w:r>
      <w:r>
        <w:rPr>
          <w:color w:val="auto"/>
          <w:sz w:val="16"/>
          <w:szCs w:val="16"/>
        </w:rPr>
        <w:tab/>
      </w:r>
      <w:r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28"/>
          <w:szCs w:val="28"/>
        </w:rPr>
        <w:t xml:space="preserve">по</w:t>
      </w:r>
      <w:r>
        <w:rPr>
          <w:b/>
          <w:color w:val="auto"/>
          <w:sz w:val="28"/>
          <w:szCs w:val="28"/>
        </w:rPr>
        <w:t xml:space="preserve"> доходам </w:t>
      </w:r>
      <w:r>
        <w:rPr>
          <w:b/>
          <w:bCs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 xml:space="preserve">сумм</w:t>
      </w:r>
      <w:r>
        <w:rPr>
          <w:color w:val="auto"/>
          <w:sz w:val="28"/>
          <w:szCs w:val="28"/>
        </w:rPr>
        <w:t xml:space="preserve">е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41 052 189,</w:t>
      </w:r>
      <w:r>
        <w:rPr>
          <w:b/>
          <w:color w:val="auto"/>
          <w:sz w:val="28"/>
          <w:szCs w:val="28"/>
        </w:rPr>
        <w:t xml:space="preserve">5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ру</w:t>
      </w:r>
      <w:r>
        <w:rPr>
          <w:color w:val="auto"/>
          <w:sz w:val="28"/>
          <w:szCs w:val="28"/>
        </w:rPr>
        <w:t xml:space="preserve">б</w:t>
      </w:r>
      <w:r>
        <w:rPr>
          <w:color w:val="auto"/>
          <w:sz w:val="28"/>
          <w:szCs w:val="28"/>
        </w:rPr>
        <w:t xml:space="preserve">.</w:t>
      </w:r>
      <w:r>
        <w:rPr>
          <w:b/>
          <w:color w:val="auto"/>
          <w:sz w:val="28"/>
          <w:szCs w:val="28"/>
        </w:rPr>
        <w:t xml:space="preserve">,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л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 xml:space="preserve">98,6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 xml:space="preserve">от плана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 xml:space="preserve">я</w:t>
      </w:r>
      <w:r>
        <w:rPr>
          <w:color w:val="auto"/>
          <w:sz w:val="28"/>
          <w:szCs w:val="28"/>
        </w:rPr>
        <w:t xml:space="preserve">нваря-</w:t>
      </w:r>
      <w:r>
        <w:rPr>
          <w:color w:val="auto"/>
          <w:sz w:val="28"/>
          <w:szCs w:val="28"/>
        </w:rPr>
        <w:t xml:space="preserve">сентября 2025 года (</w:t>
      </w:r>
      <w:r>
        <w:rPr>
          <w:color w:val="auto"/>
          <w:sz w:val="28"/>
          <w:szCs w:val="28"/>
        </w:rPr>
        <w:t xml:space="preserve">41 621 023,9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 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 xml:space="preserve">64,3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</w:t>
      </w:r>
      <w:r>
        <w:rPr>
          <w:color w:val="auto"/>
          <w:sz w:val="28"/>
          <w:szCs w:val="28"/>
        </w:rPr>
        <w:t xml:space="preserve"> уточне</w:t>
      </w:r>
      <w:r>
        <w:rPr>
          <w:color w:val="auto"/>
          <w:sz w:val="28"/>
          <w:szCs w:val="28"/>
        </w:rPr>
        <w:t xml:space="preserve">нного</w:t>
      </w:r>
      <w:r>
        <w:rPr>
          <w:color w:val="auto"/>
          <w:sz w:val="28"/>
          <w:szCs w:val="28"/>
        </w:rPr>
        <w:t xml:space="preserve"> годовог</w:t>
      </w:r>
      <w:r>
        <w:rPr>
          <w:color w:val="auto"/>
          <w:sz w:val="28"/>
          <w:szCs w:val="28"/>
        </w:rPr>
        <w:t xml:space="preserve">о план</w:t>
      </w:r>
      <w:r>
        <w:rPr>
          <w:color w:val="auto"/>
          <w:sz w:val="28"/>
          <w:szCs w:val="28"/>
        </w:rPr>
        <w:t xml:space="preserve">а                             </w:t>
      </w:r>
      <w:r>
        <w:rPr>
          <w:color w:val="auto"/>
          <w:sz w:val="28"/>
          <w:szCs w:val="28"/>
        </w:rPr>
        <w:t xml:space="preserve">   (</w:t>
      </w:r>
      <w:r>
        <w:rPr>
          <w:color w:val="auto"/>
          <w:sz w:val="28"/>
          <w:szCs w:val="28"/>
        </w:rPr>
        <w:t xml:space="preserve">63 832 537,9</w:t>
      </w:r>
      <w:r>
        <w:rPr>
          <w:color w:val="auto"/>
          <w:sz w:val="28"/>
          <w:szCs w:val="28"/>
        </w:rPr>
        <w:t xml:space="preserve"> тыс. руб.).  За аналогичный период прошлого года поступления доходов составляли </w:t>
      </w:r>
      <w:r>
        <w:rPr>
          <w:color w:val="auto"/>
          <w:sz w:val="28"/>
          <w:szCs w:val="28"/>
        </w:rPr>
        <w:t xml:space="preserve">39 107 475,0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567"/>
        <w:spacing w:line="24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поступления доходов бюджета за январь-</w:t>
      </w:r>
      <w:r>
        <w:rPr>
          <w:color w:val="auto"/>
          <w:sz w:val="28"/>
          <w:szCs w:val="28"/>
        </w:rPr>
        <w:t xml:space="preserve">сентябрь 2024 и 2025 годов приведен   в следующей таблице: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567"/>
        <w:spacing w:line="24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567"/>
        <w:jc w:val="right"/>
        <w:spacing w:line="240" w:lineRule="atLeast"/>
        <w:rPr>
          <w:color w:val="auto"/>
          <w:sz w:val="20"/>
          <w:szCs w:val="18"/>
        </w:rPr>
      </w:pPr>
      <w:r>
        <w:rPr>
          <w:color w:val="auto"/>
          <w:sz w:val="32"/>
          <w:szCs w:val="28"/>
        </w:rPr>
        <w:t xml:space="preserve">   </w:t>
      </w:r>
      <w:r>
        <w:rPr>
          <w:color w:val="auto"/>
          <w:sz w:val="20"/>
          <w:szCs w:val="18"/>
        </w:rPr>
        <w:t xml:space="preserve">  (</w:t>
      </w:r>
      <w:r>
        <w:rPr>
          <w:color w:val="auto"/>
          <w:sz w:val="20"/>
          <w:szCs w:val="18"/>
        </w:rPr>
        <w:t xml:space="preserve">тыс.руб</w:t>
      </w:r>
      <w:r>
        <w:rPr>
          <w:color w:val="auto"/>
          <w:sz w:val="20"/>
          <w:szCs w:val="18"/>
        </w:rPr>
        <w:t xml:space="preserve">.)</w:t>
      </w:r>
      <w:r>
        <w:rPr>
          <w:color w:val="auto"/>
          <w:sz w:val="20"/>
          <w:szCs w:val="18"/>
        </w:rPr>
      </w:r>
      <w:r>
        <w:rPr>
          <w:color w:val="auto"/>
          <w:sz w:val="20"/>
          <w:szCs w:val="18"/>
        </w:rPr>
      </w:r>
    </w:p>
    <w:tbl>
      <w:tblPr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1701"/>
        <w:gridCol w:w="1701"/>
        <w:gridCol w:w="1461"/>
        <w:gridCol w:w="1418"/>
      </w:tblGrid>
      <w:tr>
        <w:tblPrEx/>
        <w:trPr>
          <w:jc w:val="center"/>
          <w:trHeight w:val="1046"/>
        </w:trPr>
        <w:tc>
          <w:tcPr>
            <w:tcBorders>
              <w:bottom w:val="single" w:color="000000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показателя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auto"/>
                <w:sz w:val="20"/>
              </w:rPr>
            </w:pPr>
            <w:r>
              <w:rPr>
                <w:color w:val="auto"/>
                <w:sz w:val="20"/>
                <w:szCs w:val="22"/>
              </w:rPr>
              <w:t xml:space="preserve">Факт на 01.10</w:t>
            </w:r>
            <w:r>
              <w:rPr>
                <w:color w:val="auto"/>
                <w:sz w:val="20"/>
                <w:szCs w:val="22"/>
              </w:rPr>
              <w:t xml:space="preserve">.2024 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auto"/>
                <w:sz w:val="20"/>
              </w:rPr>
            </w:pPr>
            <w:r>
              <w:rPr>
                <w:color w:val="auto"/>
                <w:sz w:val="20"/>
                <w:szCs w:val="22"/>
              </w:rPr>
              <w:t xml:space="preserve">Факт на 01.</w:t>
            </w:r>
            <w:r>
              <w:rPr>
                <w:color w:val="auto"/>
                <w:sz w:val="20"/>
                <w:szCs w:val="22"/>
              </w:rPr>
              <w:t xml:space="preserve">10.2025 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</w:t>
            </w:r>
            <w:r>
              <w:rPr>
                <w:color w:val="auto"/>
                <w:sz w:val="20"/>
                <w:szCs w:val="20"/>
              </w:rPr>
              <w:t xml:space="preserve">тклонение поступлений 2025 года от 2024 года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Отношение поступлений 2025 года к 2024 году, 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61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Налоговые и неналоговые доходы,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в том числе: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20 961 425,0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23 060 070,9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2 098 645,9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110,0%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2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налоговые доходы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15 081 182,9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17 279 641,1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2 198 458,2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114,6%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неналоговые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5 880 242,1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5 780 429,8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-99 812,3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98,3%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Безвозмездные поступления от бюджетов других уровней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18 146 050,0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17 992 118,6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-153 931,4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99,2%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Всего доходов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39 107 475,0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41 052 189,5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1 944 714,5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105,0%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изменениями с 2025 года норматива зачисления налога на доходы физических лиц, в настоящем анализе объем доходов бюджета 2024 года приведен                   в сопоставимые условия (норматив по НДФЛ – 30,0 %).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auto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расходам</w:t>
      </w:r>
      <w:r>
        <w:rPr>
          <w:color w:val="000000" w:themeColor="text1"/>
          <w:sz w:val="28"/>
          <w:szCs w:val="28"/>
        </w:rPr>
        <w:t xml:space="preserve"> - в </w:t>
      </w:r>
      <w:r>
        <w:rPr>
          <w:sz w:val="28"/>
          <w:szCs w:val="28"/>
        </w:rPr>
        <w:t xml:space="preserve">сумме</w:t>
      </w:r>
      <w:r>
        <w:t xml:space="preserve"> </w:t>
      </w:r>
      <w:r>
        <w:rPr>
          <w:b/>
          <w:bCs/>
          <w:color w:val="auto"/>
          <w:sz w:val="28"/>
          <w:szCs w:val="28"/>
        </w:rPr>
        <w:t xml:space="preserve">41 484 143,7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</w:t>
      </w:r>
      <w:r>
        <w:rPr>
          <w:sz w:val="28"/>
          <w:szCs w:val="28"/>
        </w:rPr>
        <w:t xml:space="preserve"> руб., ил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 xml:space="preserve">97,3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 xml:space="preserve">от кассового</w:t>
      </w:r>
      <w:r>
        <w:rPr>
          <w:color w:val="auto"/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лана                   января-</w:t>
      </w:r>
      <w:r>
        <w:rPr>
          <w:sz w:val="28"/>
          <w:szCs w:val="28"/>
        </w:rPr>
        <w:t xml:space="preserve">сентября 2025 года (</w:t>
      </w:r>
      <w:r>
        <w:rPr>
          <w:sz w:val="28"/>
          <w:szCs w:val="28"/>
        </w:rPr>
        <w:t xml:space="preserve">42 643 923,2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руб.) </w:t>
      </w:r>
      <w:r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60,1 %</w:t>
      </w:r>
      <w:r>
        <w:rPr>
          <w:sz w:val="28"/>
          <w:szCs w:val="28"/>
        </w:rPr>
        <w:t xml:space="preserve"> от годо</w:t>
      </w:r>
      <w:r>
        <w:rPr>
          <w:sz w:val="28"/>
          <w:szCs w:val="28"/>
        </w:rPr>
        <w:t xml:space="preserve">вых</w:t>
      </w:r>
      <w:r>
        <w:rPr>
          <w:color w:val="000000" w:themeColor="text1"/>
          <w:sz w:val="28"/>
          <w:szCs w:val="28"/>
        </w:rPr>
        <w:t xml:space="preserve"> ассигнований               </w:t>
      </w:r>
      <w:r>
        <w:rPr>
          <w:color w:val="000000" w:themeColor="text1"/>
          <w:sz w:val="28"/>
          <w:szCs w:val="28"/>
        </w:rPr>
        <w:t xml:space="preserve">   (</w:t>
      </w:r>
      <w:r>
        <w:rPr>
          <w:color w:val="000000" w:themeColor="text1"/>
          <w:sz w:val="28"/>
          <w:szCs w:val="28"/>
        </w:rPr>
        <w:t xml:space="preserve">69 019 360,6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руб.). </w:t>
      </w:r>
      <w:r>
        <w:rPr>
          <w:color w:val="auto"/>
          <w:sz w:val="28"/>
          <w:szCs w:val="28"/>
        </w:rPr>
        <w:t xml:space="preserve">К</w:t>
      </w:r>
      <w:r>
        <w:rPr>
          <w:bCs/>
          <w:color w:val="auto"/>
          <w:sz w:val="28"/>
          <w:szCs w:val="28"/>
        </w:rPr>
        <w:t xml:space="preserve">ассовый расход за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аналогичный период прошлого года составлял </w:t>
      </w:r>
      <w:r>
        <w:rPr>
          <w:color w:val="auto"/>
          <w:sz w:val="28"/>
          <w:szCs w:val="28"/>
        </w:rPr>
        <w:t xml:space="preserve">36 285 381,5</w:t>
      </w:r>
      <w:r>
        <w:rPr>
          <w:color w:val="auto"/>
          <w:sz w:val="28"/>
          <w:szCs w:val="28"/>
        </w:rPr>
        <w:t xml:space="preserve"> т</w:t>
      </w:r>
      <w:r>
        <w:rPr>
          <w:color w:val="auto"/>
          <w:sz w:val="28"/>
          <w:szCs w:val="28"/>
        </w:rPr>
        <w:t xml:space="preserve">ыс. ру</w:t>
      </w:r>
      <w:r>
        <w:rPr>
          <w:color w:val="auto"/>
          <w:sz w:val="28"/>
          <w:szCs w:val="28"/>
        </w:rPr>
        <w:t xml:space="preserve">б., или </w:t>
      </w:r>
      <w:r>
        <w:rPr>
          <w:b/>
          <w:color w:val="auto"/>
          <w:sz w:val="28"/>
          <w:szCs w:val="28"/>
        </w:rPr>
        <w:t xml:space="preserve">96,8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</w:t>
      </w:r>
      <w:r>
        <w:rPr>
          <w:color w:val="auto"/>
          <w:sz w:val="28"/>
          <w:szCs w:val="28"/>
        </w:rPr>
        <w:t xml:space="preserve"> кассового план</w:t>
      </w:r>
      <w:r>
        <w:rPr>
          <w:color w:val="auto"/>
          <w:sz w:val="28"/>
          <w:szCs w:val="28"/>
        </w:rPr>
        <w:t xml:space="preserve">а января-</w:t>
      </w:r>
      <w:r>
        <w:rPr>
          <w:color w:val="auto"/>
          <w:sz w:val="28"/>
          <w:szCs w:val="28"/>
        </w:rPr>
        <w:t xml:space="preserve">сентября 2024 года.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40"/>
        </w:rPr>
      </w:r>
      <w:r>
        <w:rPr>
          <w:color w:val="000000" w:themeColor="text1"/>
          <w:sz w:val="20"/>
          <w:szCs w:val="28"/>
        </w:rPr>
        <w:t xml:space="preserve"> </w:t>
      </w:r>
      <w:r>
        <w:rPr>
          <w:color w:val="000000" w:themeColor="text1"/>
          <w:sz w:val="28"/>
          <w:szCs w:val="32"/>
        </w:rPr>
      </w:r>
      <w:r>
        <w:rPr>
          <w:color w:val="000000" w:themeColor="text1"/>
          <w:sz w:val="28"/>
          <w:szCs w:val="32"/>
        </w:rPr>
      </w:r>
    </w:p>
    <w:p>
      <w:pPr>
        <w:ind w:firstLine="709"/>
        <w:spacing w:line="240" w:lineRule="auto"/>
        <w:rPr>
          <w:b/>
          <w:color w:val="auto"/>
          <w:sz w:val="12"/>
          <w:szCs w:val="28"/>
        </w:rPr>
      </w:pPr>
      <w:r>
        <w:rPr>
          <w:color w:val="auto"/>
          <w:sz w:val="28"/>
          <w:szCs w:val="28"/>
        </w:rPr>
        <w:t xml:space="preserve">Кассовые выплаты по расходам за январь-</w:t>
      </w:r>
      <w:r>
        <w:rPr>
          <w:color w:val="auto"/>
          <w:sz w:val="28"/>
          <w:szCs w:val="28"/>
        </w:rPr>
        <w:t xml:space="preserve">сентябрь 2025 года превысили поступления по доходам на сумм</w:t>
      </w:r>
      <w:r>
        <w:rPr>
          <w:color w:val="auto"/>
          <w:sz w:val="28"/>
          <w:szCs w:val="28"/>
        </w:rPr>
        <w:t xml:space="preserve">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431 954,2</w:t>
      </w:r>
      <w:r>
        <w:rPr>
          <w:color w:val="auto"/>
          <w:sz w:val="28"/>
          <w:szCs w:val="28"/>
        </w:rPr>
        <w:t xml:space="preserve"> тыс. </w:t>
      </w:r>
      <w:r>
        <w:rPr>
          <w:color w:val="auto"/>
          <w:sz w:val="28"/>
          <w:szCs w:val="28"/>
        </w:rPr>
        <w:t xml:space="preserve">руб.</w:t>
      </w:r>
      <w:r>
        <w:rPr>
          <w:color w:val="auto"/>
        </w:rPr>
        <w:t xml:space="preserve"> </w:t>
      </w:r>
      <w:r>
        <w:rPr>
          <w:b/>
          <w:color w:val="auto"/>
          <w:sz w:val="12"/>
          <w:szCs w:val="28"/>
        </w:rPr>
      </w:r>
      <w:r>
        <w:rPr>
          <w:b/>
          <w:color w:val="auto"/>
          <w:sz w:val="12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c00000"/>
          <w:szCs w:val="20"/>
        </w:rPr>
      </w:pPr>
      <w:r>
        <w:rPr>
          <w:color w:val="c00000"/>
          <w:szCs w:val="20"/>
        </w:rPr>
      </w:r>
      <w:r>
        <w:rPr>
          <w:color w:val="c00000"/>
          <w:szCs w:val="20"/>
        </w:rPr>
      </w:r>
      <w:r>
        <w:rPr>
          <w:color w:val="c00000"/>
          <w:szCs w:val="20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numPr>
          <w:ilvl w:val="0"/>
          <w:numId w:val="1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color w:val="auto"/>
          <w:sz w:val="28"/>
          <w:szCs w:val="22"/>
        </w:rPr>
      </w:pPr>
      <w:r>
        <w:rPr>
          <w:rFonts w:eastAsia="Calibri"/>
          <w:b/>
          <w:caps/>
          <w:color w:val="auto"/>
          <w:sz w:val="28"/>
          <w:szCs w:val="22"/>
          <w:lang w:eastAsia="en-US"/>
        </w:rPr>
        <w:t xml:space="preserve">ИС</w:t>
      </w:r>
      <w:r>
        <w:rPr>
          <w:rFonts w:eastAsia="Calibri"/>
          <w:b/>
          <w:caps/>
          <w:color w:val="auto"/>
          <w:sz w:val="28"/>
          <w:szCs w:val="22"/>
          <w:lang w:eastAsia="en-US"/>
        </w:rPr>
        <w:t xml:space="preserve">ПОЛНЕНИЕ БЮДЖЕТА ПО ДОХОДАМ </w:t>
      </w:r>
      <w:r>
        <w:rPr>
          <w:rFonts w:eastAsia="Calibri"/>
          <w:b/>
          <w:caps/>
          <w:color w:val="auto"/>
          <w:sz w:val="28"/>
          <w:szCs w:val="22"/>
        </w:rPr>
      </w:r>
      <w:r>
        <w:rPr>
          <w:rFonts w:eastAsia="Calibri"/>
          <w:b/>
          <w:caps/>
          <w:color w:val="auto"/>
          <w:sz w:val="28"/>
          <w:szCs w:val="22"/>
        </w:rPr>
      </w:r>
    </w:p>
    <w:p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(приложение 1 к настоящей записке)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spacing w:line="240" w:lineRule="auto"/>
        <w:rPr>
          <w:color w:val="92d050"/>
          <w:sz w:val="28"/>
          <w:szCs w:val="28"/>
        </w:rPr>
      </w:pPr>
      <w:r>
        <w:rPr>
          <w:color w:val="92d050"/>
          <w:sz w:val="28"/>
          <w:szCs w:val="28"/>
        </w:rPr>
      </w:r>
      <w:r>
        <w:rPr>
          <w:color w:val="92d050"/>
          <w:sz w:val="28"/>
          <w:szCs w:val="28"/>
        </w:rPr>
      </w:r>
      <w:r>
        <w:rPr>
          <w:color w:val="92d050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Нал</w:t>
      </w:r>
      <w:r>
        <w:rPr>
          <w:b/>
          <w:color w:val="auto"/>
          <w:sz w:val="28"/>
          <w:szCs w:val="28"/>
        </w:rPr>
        <w:t xml:space="preserve">оговые доходы</w:t>
      </w:r>
      <w:r>
        <w:rPr>
          <w:color w:val="auto"/>
          <w:sz w:val="28"/>
          <w:szCs w:val="28"/>
        </w:rPr>
        <w:t xml:space="preserve"> поступили в бюджет города в </w:t>
      </w:r>
      <w:r>
        <w:rPr>
          <w:color w:val="auto"/>
          <w:sz w:val="28"/>
          <w:szCs w:val="28"/>
        </w:rPr>
        <w:t xml:space="preserve">су</w:t>
      </w:r>
      <w:r>
        <w:rPr>
          <w:color w:val="auto"/>
          <w:sz w:val="28"/>
          <w:szCs w:val="28"/>
        </w:rPr>
        <w:t xml:space="preserve">мме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17 279 641,1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 руб., </w:t>
      </w:r>
      <w:r>
        <w:rPr>
          <w:color w:val="auto"/>
          <w:sz w:val="28"/>
          <w:szCs w:val="28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96,2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к плану </w:t>
      </w:r>
      <w:r>
        <w:rPr>
          <w:color w:val="auto"/>
          <w:sz w:val="28"/>
          <w:szCs w:val="28"/>
          <w:highlight w:val="white"/>
        </w:rPr>
        <w:t xml:space="preserve">января-</w:t>
      </w:r>
      <w:r>
        <w:rPr>
          <w:color w:val="auto"/>
          <w:sz w:val="28"/>
          <w:szCs w:val="28"/>
        </w:rPr>
        <w:t xml:space="preserve">сентября 2025 года (</w:t>
      </w:r>
      <w:r>
        <w:rPr>
          <w:color w:val="auto"/>
          <w:sz w:val="28"/>
          <w:szCs w:val="28"/>
        </w:rPr>
        <w:t xml:space="preserve">17 956 602,5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 и </w:t>
      </w:r>
      <w:r>
        <w:rPr>
          <w:b/>
          <w:bCs/>
          <w:color w:val="auto"/>
          <w:sz w:val="28"/>
          <w:szCs w:val="28"/>
        </w:rPr>
        <w:t xml:space="preserve">61,6 </w:t>
      </w:r>
      <w:r>
        <w:rPr>
          <w:b/>
          <w:bCs/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 xml:space="preserve">                      к </w:t>
      </w:r>
      <w:r>
        <w:rPr>
          <w:color w:val="000000" w:themeColor="text1"/>
          <w:sz w:val="28"/>
          <w:szCs w:val="28"/>
        </w:rPr>
        <w:t xml:space="preserve">план</w:t>
      </w:r>
      <w:r>
        <w:rPr>
          <w:color w:val="auto"/>
          <w:sz w:val="28"/>
          <w:szCs w:val="28"/>
        </w:rPr>
        <w:t xml:space="preserve">у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</w:t>
      </w:r>
      <w:r>
        <w:rPr>
          <w:color w:val="auto"/>
          <w:sz w:val="28"/>
          <w:szCs w:val="28"/>
        </w:rPr>
        <w:t xml:space="preserve">28 065 221,0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</w:t>
      </w:r>
      <w:r>
        <w:rPr>
          <w:color w:val="auto"/>
          <w:sz w:val="28"/>
          <w:szCs w:val="28"/>
        </w:rPr>
        <w:t xml:space="preserve">.). За а</w:t>
      </w:r>
      <w:r>
        <w:rPr>
          <w:color w:val="000000" w:themeColor="text1"/>
          <w:sz w:val="28"/>
          <w:szCs w:val="28"/>
        </w:rPr>
        <w:t xml:space="preserve">налогичный период прошлого года поступления </w:t>
      </w:r>
      <w:r>
        <w:rPr>
          <w:color w:val="000000" w:themeColor="text1"/>
          <w:sz w:val="28"/>
          <w:szCs w:val="28"/>
        </w:rPr>
        <w:t xml:space="preserve">налоговых доходов составляли </w:t>
      </w:r>
      <w:r>
        <w:rPr>
          <w:color w:val="000000" w:themeColor="text1"/>
          <w:sz w:val="28"/>
          <w:szCs w:val="28"/>
        </w:rPr>
        <w:t xml:space="preserve">15 081 182,9</w:t>
      </w:r>
      <w:r>
        <w:rPr>
          <w:color w:val="000000" w:themeColor="text1"/>
          <w:sz w:val="28"/>
          <w:szCs w:val="28"/>
        </w:rPr>
        <w:t xml:space="preserve"> 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Неналоговые доходы</w:t>
      </w:r>
      <w:r>
        <w:rPr>
          <w:color w:val="000000" w:themeColor="text1"/>
          <w:sz w:val="28"/>
          <w:szCs w:val="28"/>
        </w:rPr>
        <w:t xml:space="preserve"> пост</w:t>
      </w:r>
      <w:r>
        <w:rPr>
          <w:color w:val="auto"/>
          <w:sz w:val="28"/>
          <w:szCs w:val="28"/>
        </w:rPr>
        <w:t xml:space="preserve">упили в бюджет города в </w:t>
      </w:r>
      <w:r>
        <w:rPr>
          <w:color w:val="auto"/>
          <w:sz w:val="28"/>
          <w:szCs w:val="28"/>
        </w:rPr>
        <w:t xml:space="preserve">су</w:t>
      </w:r>
      <w:r>
        <w:rPr>
          <w:color w:val="auto"/>
          <w:sz w:val="28"/>
          <w:szCs w:val="28"/>
        </w:rPr>
        <w:t xml:space="preserve">мме </w:t>
      </w:r>
      <w:r>
        <w:rPr>
          <w:b/>
          <w:bCs/>
          <w:color w:val="auto"/>
          <w:sz w:val="28"/>
          <w:szCs w:val="28"/>
        </w:rPr>
        <w:t xml:space="preserve">5 780 429,8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или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101,9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к плану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января-</w:t>
      </w:r>
      <w:r>
        <w:rPr>
          <w:color w:val="auto"/>
          <w:sz w:val="28"/>
          <w:szCs w:val="28"/>
        </w:rPr>
        <w:t xml:space="preserve">сентября</w:t>
      </w:r>
      <w:r>
        <w:rPr>
          <w:color w:val="auto"/>
          <w:sz w:val="28"/>
          <w:szCs w:val="28"/>
        </w:rPr>
        <w:t xml:space="preserve"> 2025 года (</w:t>
      </w:r>
      <w:r>
        <w:rPr>
          <w:color w:val="auto"/>
          <w:sz w:val="28"/>
          <w:szCs w:val="28"/>
        </w:rPr>
        <w:t xml:space="preserve">5 671 381,5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 и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73,8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                        к </w:t>
      </w:r>
      <w:r>
        <w:rPr>
          <w:color w:val="000000" w:themeColor="text1"/>
          <w:sz w:val="28"/>
          <w:szCs w:val="28"/>
        </w:rPr>
        <w:t xml:space="preserve">пла</w:t>
      </w:r>
      <w:r>
        <w:rPr>
          <w:color w:val="auto"/>
          <w:sz w:val="28"/>
          <w:szCs w:val="28"/>
        </w:rPr>
        <w:t xml:space="preserve">ну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7 828 489,0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руб.). За аналогич</w:t>
      </w:r>
      <w:r>
        <w:rPr>
          <w:color w:val="000000" w:themeColor="text1"/>
          <w:sz w:val="28"/>
          <w:szCs w:val="28"/>
        </w:rPr>
        <w:t xml:space="preserve">ный период прошлого года поступления неналоговых доходов составл</w:t>
      </w:r>
      <w:r>
        <w:rPr>
          <w:color w:val="000000" w:themeColor="text1"/>
          <w:sz w:val="28"/>
          <w:szCs w:val="28"/>
        </w:rPr>
        <w:t xml:space="preserve">яли </w:t>
      </w:r>
      <w:r>
        <w:rPr>
          <w:color w:val="000000" w:themeColor="text1"/>
          <w:sz w:val="28"/>
          <w:szCs w:val="28"/>
        </w:rPr>
        <w:t xml:space="preserve">5 880 242,1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auto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Безв</w:t>
      </w:r>
      <w:r>
        <w:rPr>
          <w:b/>
          <w:color w:val="auto"/>
          <w:sz w:val="28"/>
          <w:szCs w:val="28"/>
        </w:rPr>
        <w:t xml:space="preserve">озмезд</w:t>
      </w:r>
      <w:r>
        <w:rPr>
          <w:b/>
          <w:color w:val="auto"/>
          <w:sz w:val="28"/>
          <w:szCs w:val="28"/>
        </w:rPr>
        <w:t xml:space="preserve">ные поступления</w:t>
      </w:r>
      <w:r>
        <w:rPr>
          <w:color w:val="auto"/>
          <w:sz w:val="28"/>
          <w:szCs w:val="28"/>
        </w:rPr>
        <w:t xml:space="preserve"> от бюджетов других уровней поступили в сумме         </w:t>
      </w:r>
      <w:r>
        <w:rPr>
          <w:b/>
          <w:bCs/>
          <w:color w:val="auto"/>
          <w:sz w:val="28"/>
          <w:szCs w:val="28"/>
        </w:rPr>
        <w:t xml:space="preserve">17 992 118,6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ыс. руб., или </w:t>
      </w:r>
      <w:r>
        <w:rPr>
          <w:b/>
          <w:bCs/>
          <w:color w:val="auto"/>
          <w:sz w:val="28"/>
          <w:szCs w:val="28"/>
        </w:rPr>
        <w:t xml:space="preserve">100,0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к плану </w:t>
      </w:r>
      <w:r>
        <w:rPr>
          <w:color w:val="auto"/>
          <w:sz w:val="28"/>
          <w:szCs w:val="28"/>
          <w:highlight w:val="white"/>
        </w:rPr>
        <w:t xml:space="preserve">января-</w:t>
      </w:r>
      <w:r>
        <w:rPr>
          <w:color w:val="auto"/>
          <w:sz w:val="28"/>
          <w:szCs w:val="28"/>
        </w:rPr>
        <w:t xml:space="preserve">сентября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2025</w:t>
      </w:r>
      <w:r>
        <w:rPr>
          <w:color w:val="auto"/>
          <w:sz w:val="28"/>
          <w:szCs w:val="28"/>
          <w:highlight w:val="white"/>
        </w:rPr>
        <w:t xml:space="preserve"> года (</w:t>
      </w:r>
      <w:r>
        <w:rPr>
          <w:color w:val="auto"/>
          <w:sz w:val="28"/>
          <w:szCs w:val="28"/>
          <w:highlight w:val="white"/>
        </w:rPr>
        <w:t xml:space="preserve">17 993 039,9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ру</w:t>
      </w:r>
      <w:r>
        <w:rPr>
          <w:color w:val="auto"/>
          <w:sz w:val="28"/>
          <w:szCs w:val="28"/>
          <w:highlight w:val="white"/>
        </w:rPr>
        <w:t xml:space="preserve">б.)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  <w:highlight w:val="white"/>
        </w:rPr>
        <w:t xml:space="preserve">64,4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к плану года (</w:t>
      </w:r>
      <w:r>
        <w:rPr>
          <w:color w:val="auto"/>
          <w:sz w:val="28"/>
          <w:szCs w:val="28"/>
          <w:highlight w:val="white"/>
        </w:rPr>
        <w:t xml:space="preserve">27 938 827,9</w:t>
      </w:r>
      <w:r>
        <w:rPr>
          <w:color w:val="auto"/>
          <w:sz w:val="28"/>
          <w:szCs w:val="28"/>
          <w:highlight w:val="white"/>
        </w:rPr>
        <w:t xml:space="preserve"> тыс. р</w:t>
      </w:r>
      <w:r>
        <w:rPr>
          <w:color w:val="auto"/>
          <w:sz w:val="28"/>
          <w:szCs w:val="28"/>
        </w:rPr>
        <w:t xml:space="preserve">уб.). За ана</w:t>
      </w:r>
      <w:r>
        <w:rPr>
          <w:color w:val="auto"/>
          <w:sz w:val="28"/>
          <w:szCs w:val="28"/>
        </w:rPr>
        <w:t xml:space="preserve">логичный период прошлого года поступления составляли </w:t>
      </w:r>
      <w:r>
        <w:rPr>
          <w:color w:val="auto"/>
          <w:sz w:val="28"/>
          <w:szCs w:val="28"/>
        </w:rPr>
        <w:t xml:space="preserve">18 146 050,0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исполнения плана по доходам за январь-</w:t>
      </w:r>
      <w:r>
        <w:rPr>
          <w:color w:val="auto"/>
          <w:sz w:val="28"/>
          <w:szCs w:val="28"/>
        </w:rPr>
        <w:t xml:space="preserve">сентябрь 2025 года по осно</w:t>
      </w:r>
      <w:r>
        <w:rPr>
          <w:color w:val="auto"/>
          <w:sz w:val="28"/>
          <w:szCs w:val="28"/>
        </w:rPr>
        <w:t xml:space="preserve">вным </w:t>
      </w:r>
      <w:r>
        <w:rPr>
          <w:color w:val="auto"/>
          <w:sz w:val="28"/>
          <w:szCs w:val="28"/>
        </w:rPr>
        <w:t xml:space="preserve">бюдже</w:t>
      </w:r>
      <w:r>
        <w:rPr>
          <w:color w:val="000000" w:themeColor="text1"/>
          <w:sz w:val="28"/>
          <w:szCs w:val="28"/>
        </w:rPr>
        <w:t xml:space="preserve">тообразующим</w:t>
      </w:r>
      <w:r>
        <w:rPr>
          <w:color w:val="000000" w:themeColor="text1"/>
          <w:sz w:val="28"/>
          <w:szCs w:val="28"/>
        </w:rPr>
        <w:t xml:space="preserve"> поступлениям выглядит следующим образом: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highlight w:val="white"/>
        </w:rPr>
        <w:suppressLineNumbers w:val="0"/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01.10.2025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13 214 822,0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93,6 % к плану отчетного периода (14 115 929,1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61,5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уточненному плану года (</w:t>
      </w:r>
      <w:r>
        <w:rPr>
          <w:color w:val="000000" w:themeColor="text1"/>
          <w:sz w:val="28"/>
          <w:szCs w:val="28"/>
          <w:highlight w:val="white"/>
        </w:rPr>
        <w:t xml:space="preserve">21 478 832,2                   тыс. руб.).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Снижение темпа роста поступлений налога относительно запланированного уровня обусловлено отсутствием перечислений налога на доходы физических лиц с дивидендов от крупного плательщика, а также увеличением суммы возвратов </w:t>
      </w:r>
      <w:r>
        <w:rPr>
          <w:color w:val="000000" w:themeColor="text1"/>
          <w:sz w:val="28"/>
          <w:szCs w:val="28"/>
          <w:highlight w:val="white"/>
        </w:rPr>
        <w:t xml:space="preserve">за девять месяцев 2025 года на 24,2 %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сумма возвратов составила 1 475 279,5 тыс. руб.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112,5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7030a0"/>
          <w:sz w:val="24"/>
          <w:szCs w:val="24"/>
          <w:highlight w:val="non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4"/>
          <w:szCs w:val="24"/>
          <w:highlight w:val="none"/>
        </w:rPr>
      </w:r>
      <w:r>
        <w:rPr>
          <w:color w:val="7030a0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18 900,4</w:t>
      </w:r>
      <w:r>
        <w:rPr>
          <w:iCs/>
          <w:color w:val="000000" w:themeColor="text1"/>
          <w:sz w:val="28"/>
          <w:szCs w:val="28"/>
          <w:highlight w:val="white"/>
        </w:rPr>
        <w:t xml:space="preserve">                  тыс. руб., или 58,2 % к плану отчетного периода (32 497,1 тыс. руб.) и 35,7 % к плану года (52 994,3 тыс. руб.).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  <w:t xml:space="preserve">Услуги по временному проживанию фактически приобретены меньшим количеством лиц, планируемым к размещению.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850"/>
        <w:jc w:val="both"/>
        <w:spacing w:before="0" w:after="0" w:line="240" w:lineRule="auto"/>
        <w:tabs>
          <w:tab w:val="left" w:pos="850" w:leader="none"/>
        </w:tabs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941 768,8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98,7 % к плану отчетного периода (953 831,4 тыс. руб.) и 74,8 % к плану года (1 259 409,1                    тыс. руб.).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106,6 %. 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pStyle w:val="844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патентной системы налогообложения,</w:t>
      </w:r>
      <w:r>
        <w:rPr>
          <w:iCs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347 501,4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                                или 102,0 % к плану о</w:t>
      </w:r>
      <w:r>
        <w:rPr>
          <w:iCs/>
          <w:color w:val="000000" w:themeColor="text1"/>
          <w:sz w:val="28"/>
          <w:szCs w:val="28"/>
          <w:highlight w:val="white"/>
        </w:rPr>
        <w:t xml:space="preserve">тчетного периода (340 592,3 тыс. руб.) и 56,4 % к пл</w:t>
      </w:r>
      <w:r>
        <w:rPr>
          <w:iCs/>
          <w:color w:val="000000" w:themeColor="text1"/>
          <w:sz w:val="28"/>
          <w:szCs w:val="28"/>
          <w:highlight w:val="white"/>
        </w:rPr>
        <w:t xml:space="preserve">ану года </w:t>
        <w:br/>
        <w:t xml:space="preserve">(615 839,4 тыс. руб.). 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widowControl w:val="off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104,6 %.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44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000000" w:themeColor="text1"/>
          <w:sz w:val="28"/>
          <w:szCs w:val="28"/>
        </w:rPr>
        <w:suppressLineNumbers w:val="0"/>
      </w:pPr>
      <w:r>
        <w:rPr>
          <w:iCs/>
          <w:color w:val="000000" w:themeColor="text1"/>
          <w:sz w:val="28"/>
          <w:szCs w:val="28"/>
        </w:rPr>
        <w:t xml:space="preserve">В соответствии с формой налого</w:t>
      </w:r>
      <w:r>
        <w:rPr>
          <w:iCs/>
          <w:color w:val="000000" w:themeColor="text1"/>
          <w:sz w:val="28"/>
          <w:szCs w:val="28"/>
        </w:rPr>
        <w:t xml:space="preserve">вой отчетности 1-Патент по состоянию                              на 01.07.2025 количество выданных патентов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относительно прошлого года </w:t>
      </w:r>
      <w:r>
        <w:rPr>
          <w:iCs/>
          <w:color w:val="000000" w:themeColor="text1"/>
          <w:sz w:val="28"/>
          <w:szCs w:val="28"/>
        </w:rPr>
        <w:t xml:space="preserve">выросло                              </w:t>
      </w:r>
      <w:r>
        <w:rPr>
          <w:iCs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7,0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%, </w:t>
      </w:r>
      <w:r>
        <w:rPr>
          <w:iCs/>
          <w:color w:val="000000" w:themeColor="text1"/>
          <w:sz w:val="28"/>
          <w:szCs w:val="28"/>
        </w:rPr>
        <w:t xml:space="preserve">или на 1 407 единицы.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налогу на имущество физических лиц </w:t>
      </w:r>
      <w:r>
        <w:rPr>
          <w:iCs/>
          <w:color w:val="000000" w:themeColor="text1"/>
          <w:sz w:val="28"/>
          <w:szCs w:val="28"/>
          <w:highlight w:val="none"/>
        </w:rPr>
        <w:t xml:space="preserve">поступление составило 414 213,2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  <w:t xml:space="preserve">тыс.</w:t>
      </w:r>
      <w:r>
        <w:rPr>
          <w:iCs/>
          <w:color w:val="000000" w:themeColor="text1"/>
          <w:sz w:val="28"/>
          <w:szCs w:val="28"/>
          <w:highlight w:val="none"/>
        </w:rPr>
        <w:t xml:space="preserve"> руб., что превышает план отчетного периода </w:t>
      </w:r>
      <w:r>
        <w:rPr>
          <w:iCs/>
          <w:color w:val="000000" w:themeColor="text1"/>
          <w:sz w:val="28"/>
          <w:szCs w:val="28"/>
          <w:highlight w:val="none"/>
        </w:rPr>
        <w:t xml:space="preserve">в</w:t>
      </w:r>
      <w:r>
        <w:rPr>
          <w:iCs/>
          <w:color w:val="000000" w:themeColor="text1"/>
          <w:sz w:val="28"/>
          <w:szCs w:val="28"/>
          <w:highlight w:val="none"/>
        </w:rPr>
        <w:t xml:space="preserve"> 1,2 раза </w:t>
      </w:r>
      <w:r>
        <w:rPr>
          <w:iCs/>
          <w:color w:val="000000" w:themeColor="text1"/>
          <w:sz w:val="28"/>
          <w:szCs w:val="28"/>
          <w:highlight w:val="none"/>
        </w:rPr>
        <w:t xml:space="preserve">(335 900,0</w:t>
      </w:r>
      <w:r>
        <w:rPr>
          <w:iCs/>
          <w:color w:val="000000" w:themeColor="text1"/>
          <w:sz w:val="28"/>
          <w:szCs w:val="28"/>
          <w:highlight w:val="none"/>
        </w:rPr>
        <w:t xml:space="preserve"> тыс. руб.) </w:t>
      </w:r>
      <w:r>
        <w:rPr>
          <w:iCs/>
          <w:color w:val="000000" w:themeColor="text1"/>
          <w:sz w:val="28"/>
          <w:szCs w:val="28"/>
          <w:highlight w:val="none"/>
        </w:rPr>
        <w:t xml:space="preserve">                       и составляет 27,9 % к плану года (1 486 170,1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00000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</w:t>
      </w:r>
      <w:r>
        <w:rPr>
          <w:color w:val="000000" w:themeColor="text1"/>
          <w:sz w:val="28"/>
          <w:szCs w:val="28"/>
          <w:highlight w:val="none"/>
        </w:rPr>
        <w:t xml:space="preserve">еревыполнение плана отчетного периода связано с поступлением авансовых платежей по сроку уплаты  01 декабря 2025 года.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  <w:t xml:space="preserve">Относительно аналогичного периода прошлого года поступления </w:t>
      </w:r>
      <w:r>
        <w:rPr>
          <w:iCs/>
          <w:color w:val="000000" w:themeColor="text1"/>
          <w:sz w:val="28"/>
          <w:szCs w:val="28"/>
          <w:highlight w:val="none"/>
        </w:rPr>
        <w:t xml:space="preserve">увеличились           на 35,7 %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b/>
          <w:color w:val="7030a0"/>
          <w:sz w:val="28"/>
          <w:szCs w:val="28"/>
          <w:highlight w:val="white"/>
        </w:rPr>
        <w:suppressLineNumbers w:val="0"/>
      </w:pPr>
      <w:r>
        <w:rPr>
          <w:b/>
          <w:color w:val="7030a0"/>
          <w:sz w:val="28"/>
          <w:szCs w:val="28"/>
          <w:highlight w:val="white"/>
        </w:rPr>
      </w:r>
      <w:r>
        <w:rPr>
          <w:b/>
          <w:color w:val="7030a0"/>
          <w:sz w:val="28"/>
          <w:szCs w:val="28"/>
          <w:highlight w:val="white"/>
        </w:rPr>
      </w:r>
      <w:r>
        <w:rPr>
          <w:b/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</w:t>
      </w:r>
      <w:r>
        <w:rPr>
          <w:color w:val="000000" w:themeColor="text1"/>
          <w:sz w:val="28"/>
          <w:szCs w:val="28"/>
          <w:highlight w:val="white"/>
        </w:rPr>
        <w:t xml:space="preserve">ставило </w:t>
      </w:r>
      <w:r>
        <w:rPr>
          <w:color w:val="000000" w:themeColor="text1"/>
          <w:sz w:val="28"/>
          <w:szCs w:val="28"/>
          <w:highlight w:val="white"/>
        </w:rPr>
        <w:t xml:space="preserve">1 790 721,3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   тыс. руб., что на 9,5 % превышает план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1 635 086,0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                   и составляет 73,4 % к уточненному плану года  (2 439 929,8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увеличились         на 15,4 %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На перевы</w:t>
      </w:r>
      <w:r>
        <w:rPr>
          <w:color w:val="000000" w:themeColor="text1"/>
          <w:sz w:val="28"/>
          <w:szCs w:val="28"/>
          <w:highlight w:val="white"/>
        </w:rPr>
        <w:t xml:space="preserve">полнение плана отчетного период</w:t>
      </w:r>
      <w:r>
        <w:rPr>
          <w:color w:val="000000" w:themeColor="text1"/>
          <w:sz w:val="28"/>
          <w:szCs w:val="28"/>
          <w:highlight w:val="white"/>
        </w:rPr>
        <w:t xml:space="preserve">а повлияло поступление авансовых платежей по земельному налогу физических лиц по сроку уплаты 01 декабря 2025 года, а также увеличение ставки земельного налога с 01.01.2025 года с 0,3 % до 1,5 %                               в отношении земельных участков,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занятых жилищным фондом и (или) объектами инженерной инфраструктуры жилищно-коммунального комплекса, </w:t>
      </w:r>
      <w:r>
        <w:rPr>
          <w:color w:val="000000" w:themeColor="text1"/>
          <w:sz w:val="28"/>
          <w:szCs w:val="28"/>
          <w:highlight w:val="white"/>
        </w:rPr>
        <w:t xml:space="preserve">кадастровая стоимость которых превышает 300,0 млн. руб. </w:t>
      </w:r>
      <w:r>
        <w:rPr>
          <w:color w:val="7030a0"/>
          <w:sz w:val="28"/>
          <w:szCs w:val="28"/>
          <w:highlight w:val="white"/>
          <w14:ligatures w14:val="none"/>
        </w:rPr>
      </w:r>
      <w:r>
        <w:rPr>
          <w:color w:val="7030a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413 755,0 тыс. руб., что на 25,3 %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(330 242,0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105,2 %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(3</w:t>
      </w:r>
      <w:r>
        <w:rPr>
          <w:color w:val="000000" w:themeColor="text1"/>
          <w:sz w:val="28"/>
          <w:szCs w:val="28"/>
          <w:highlight w:val="white"/>
        </w:rPr>
        <w:t xml:space="preserve">93 350,3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 увеличились на 43,9 % (на 126 155,3 тыс. руб.) </w:t>
      </w:r>
      <w:r>
        <w:rPr>
          <w:color w:val="000000" w:themeColor="text1"/>
          <w:sz w:val="28"/>
          <w:szCs w:val="28"/>
          <w:highlight w:val="white"/>
        </w:rPr>
        <w:t xml:space="preserve">за счет поступления средств от продажи права на заключение договоров аренды земельных участков                         на торгах.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yellow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234 758,0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101,3 % от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231 700,0</w:t>
      </w:r>
      <w:r>
        <w:rPr>
          <w:color w:val="000000" w:themeColor="text1"/>
          <w:sz w:val="28"/>
          <w:szCs w:val="28"/>
          <w:highlight w:val="white"/>
        </w:rPr>
        <w:t xml:space="preserve">                      тыс. руб.) и меньше объема аналогичного периода прошлого года н</w:t>
      </w:r>
      <w:r>
        <w:rPr>
          <w:color w:val="000000" w:themeColor="text1"/>
          <w:sz w:val="28"/>
          <w:szCs w:val="28"/>
          <w:highlight w:val="white"/>
        </w:rPr>
        <w:t xml:space="preserve">а 16 521,9</w:t>
      </w:r>
      <w:r>
        <w:rPr>
          <w:color w:val="000000" w:themeColor="text1"/>
          <w:sz w:val="28"/>
          <w:szCs w:val="28"/>
          <w:highlight w:val="white"/>
        </w:rPr>
        <w:t xml:space="preserve"> тыс. руб.;</w:t>
      </w:r>
      <w:r>
        <w:rPr>
          <w:color w:val="000000" w:themeColor="text1"/>
          <w:sz w:val="28"/>
          <w:szCs w:val="28"/>
          <w:highlight w:val="yellow"/>
        </w:rPr>
        <w:t xml:space="preserve">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178 997,0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1,8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98 542,0</w:t>
      </w:r>
      <w:r>
        <w:rPr>
          <w:color w:val="000000" w:themeColor="text1"/>
          <w:sz w:val="28"/>
          <w:szCs w:val="28"/>
          <w:highlight w:val="white"/>
        </w:rPr>
        <w:t xml:space="preserve">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Право на заключение договоров аренды земельных участков, предназначенных для ИЖС, реализуется со значительным превышением начальной цены реализации. На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также в значительной степени повлияло</w:t>
      </w:r>
      <w:r>
        <w:rPr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на, на котором было реализовано право на заключ</w:t>
      </w:r>
      <w:r>
        <w:rPr>
          <w:color w:val="000000" w:themeColor="text1"/>
          <w:sz w:val="28"/>
          <w:szCs w:val="28"/>
          <w:highlight w:val="white"/>
        </w:rPr>
        <w:t xml:space="preserve">ение договоров аренды земельных участков                                   для строительства объектов производственного и складского назначения                                   по ул. Промышленной, 135Б и 135В, состоявшегося 26 декабря 2024 года, в сумме </w:t>
      </w:r>
      <w:r>
        <w:rPr>
          <w:color w:val="000000" w:themeColor="text1"/>
          <w:sz w:val="28"/>
          <w:szCs w:val="28"/>
          <w:highlight w:val="white"/>
        </w:rPr>
        <w:t xml:space="preserve">29 201,2 </w:t>
      </w:r>
      <w:r>
        <w:rPr>
          <w:color w:val="000000" w:themeColor="text1"/>
          <w:sz w:val="28"/>
          <w:szCs w:val="28"/>
          <w:highlight w:val="white"/>
        </w:rPr>
        <w:t xml:space="preserve">тыс. руб.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yellow"/>
        </w:rPr>
        <w:suppressLineNumbers w:val="0"/>
      </w:pPr>
      <w:r>
        <w:rPr>
          <w:b/>
          <w:color w:val="000000" w:themeColor="text1"/>
          <w:sz w:val="28"/>
          <w:szCs w:val="28"/>
          <w:highlight w:val="yellow"/>
        </w:rPr>
      </w:r>
      <w:r>
        <w:rPr>
          <w:b/>
          <w:bCs/>
          <w:color w:val="000000" w:themeColor="text1"/>
          <w:sz w:val="28"/>
          <w:szCs w:val="28"/>
          <w:highlight w:val="yellow"/>
        </w:rPr>
      </w:r>
      <w:r>
        <w:rPr>
          <w:b/>
          <w:bCs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br/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                             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85 641,7 тыс. руб., что составляет 102,6</w:t>
      </w:r>
      <w:r>
        <w:rPr>
          <w:color w:val="000000" w:themeColor="text1"/>
          <w:sz w:val="28"/>
          <w:szCs w:val="28"/>
          <w:highlight w:val="white"/>
        </w:rPr>
        <w:t xml:space="preserve"> % к плану отчетного периода (83 467,4 тыс. руб.) и 50,6 % к плану года </w:t>
      </w:r>
      <w:r>
        <w:rPr>
          <w:color w:val="000000" w:themeColor="text1"/>
          <w:sz w:val="28"/>
          <w:szCs w:val="28"/>
          <w:highlight w:val="white"/>
        </w:rPr>
        <w:t xml:space="preserve">(169 383,1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strike/>
          <w:color w:val="000000" w:themeColor="text1"/>
          <w:sz w:val="28"/>
          <w:szCs w:val="28"/>
          <w:highlight w:val="yellow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74 863,0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1,7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42 931,0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              и больше объема аналогичного периода прошлого года на 39 087,8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обусловлено поступлением оплат                                 по договорам аренды, заключенным после формирования проекта бюджетного задания на 2025 год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strike/>
          <w:color w:val="000000" w:themeColor="text1"/>
          <w:sz w:val="28"/>
          <w:szCs w:val="28"/>
          <w:highlight w:val="yellow"/>
        </w:rPr>
      </w:r>
      <w:r>
        <w:rPr>
          <w:strike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продажи права на заключение договоров аренды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10 778,7 тыс. руб., что на 73,4 % меньше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(40 536,4 тыс.руб.). </w:t>
      </w:r>
      <w:r>
        <w:rPr>
          <w:color w:val="000000" w:themeColor="text1"/>
          <w:sz w:val="28"/>
          <w:szCs w:val="28"/>
          <w:highlight w:val="white"/>
        </w:rPr>
        <w:t xml:space="preserve">Неисполнение кассового плана обусловлено выбытием из арендного фонда земельного уч</w:t>
      </w:r>
      <w:r>
        <w:rPr>
          <w:color w:val="000000" w:themeColor="text1"/>
          <w:sz w:val="28"/>
          <w:szCs w:val="28"/>
          <w:highlight w:val="white"/>
        </w:rPr>
        <w:t xml:space="preserve">астка, распо</w:t>
      </w:r>
      <w:r>
        <w:rPr>
          <w:color w:val="000000" w:themeColor="text1"/>
          <w:sz w:val="28"/>
          <w:szCs w:val="28"/>
          <w:highlight w:val="white"/>
        </w:rPr>
        <w:t xml:space="preserve">ложенного по адресу ул. Магистральная, 86б, предоставленного под строительство жилого комплекса. В июле 2025 года осуществлена государственная регистрация общедолевой собственности на объекты недвижимости, расположенные                    </w:t>
      </w:r>
      <w:r>
        <w:rPr>
          <w:color w:val="000000" w:themeColor="text1"/>
          <w:sz w:val="28"/>
          <w:szCs w:val="28"/>
          <w:highlight w:val="white"/>
        </w:rPr>
        <w:t xml:space="preserve">в многоквартирном доме. </w:t>
      </w:r>
      <w:r>
        <w:rPr>
          <w:color w:val="000000" w:themeColor="text1"/>
          <w:sz w:val="28"/>
          <w:szCs w:val="28"/>
          <w:highlight w:val="white"/>
        </w:rPr>
        <w:t xml:space="preserve">Кроме того, запланированная в 2025 году реализация                        на аукционе права аренды земельного участка по ул. Зюкайская, 5 - Газонная, 21 пе</w:t>
      </w:r>
      <w:r>
        <w:rPr>
          <w:color w:val="000000" w:themeColor="text1"/>
          <w:sz w:val="28"/>
          <w:szCs w:val="28"/>
          <w:highlight w:val="white"/>
        </w:rPr>
        <w:t xml:space="preserve">реносится на 2026 год.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yellow"/>
        </w:rPr>
        <w:outlineLvl w:val="0"/>
        <w:suppressLineNumbers w:val="0"/>
      </w:pPr>
      <w:r>
        <w:rPr>
          <w:rFonts w:eastAsia="Calibri"/>
          <w:color w:val="000000" w:themeColor="text1"/>
          <w:sz w:val="28"/>
          <w:szCs w:val="28"/>
          <w:highlight w:val="yellow"/>
        </w:rPr>
      </w:r>
      <w:r>
        <w:rPr>
          <w:rFonts w:eastAsia="Calibri"/>
          <w:color w:val="000000" w:themeColor="text1"/>
          <w:sz w:val="28"/>
          <w:szCs w:val="28"/>
          <w:highlight w:val="yellow"/>
        </w:rPr>
      </w:r>
      <w:r>
        <w:rPr>
          <w:rFonts w:eastAsia="Calibri"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b/>
          <w:color w:val="000000" w:themeColor="text1"/>
          <w:sz w:val="28"/>
          <w:szCs w:val="28"/>
          <w:highlight w:val="none"/>
        </w:rPr>
        <w:tab/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поступили в сумме 60</w:t>
      </w:r>
      <w:r>
        <w:rPr>
          <w:rFonts w:eastAsia="Calibri"/>
          <w:color w:val="000000" w:themeColor="text1"/>
          <w:sz w:val="28"/>
          <w:szCs w:val="28"/>
          <w:highlight w:val="white"/>
          <w:lang w:val="en-US"/>
        </w:rPr>
        <w:t xml:space="preserve"> 189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,0 тыс. руб., что составляет 101,0 % от плана отчетного периода (59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6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74,3 %                                    от плана года (80 987,0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 составили 100,5 %.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рочие доходы от использования имущества и прав, находящихся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                    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 муниципальных унитарных предприятий, в том числе 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поступили                     в сумме 157 983,1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составляет 119,3 % от плана отчетного периода                       (132 474,4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85,0  % от плана года (185 836,2 тыс. 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доходы по дого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             92 849,6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1,2 раза превышает </w:t>
      </w:r>
      <w:r>
        <w:rPr>
          <w:color w:val="000000" w:themeColor="text1"/>
          <w:sz w:val="28"/>
          <w:szCs w:val="28"/>
          <w:highlight w:val="white"/>
        </w:rPr>
        <w:t xml:space="preserve">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(74 905,6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88,6 % к плану года (104 746,7 тыс. руб.).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обусловлено, в основном, поступлением по итогам состоявшихся торгов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 доходы по договорам на размещение нестационарных объектов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админист-рируемые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11 501,2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1,7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(6 711,1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) и составляет 104,1 % к плану года (11 046,9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платежей, а также задолженности по договорам на размещение нестационарных торговых объек</w:t>
      </w:r>
      <w:r>
        <w:rPr>
          <w:color w:val="000000" w:themeColor="text1"/>
          <w:sz w:val="28"/>
          <w:szCs w:val="28"/>
          <w:highlight w:val="white"/>
        </w:rPr>
        <w:t xml:space="preserve">тов.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Платежи при пользовании природными ресурсами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49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155,3 </w:t>
      </w:r>
      <w:r>
        <w:rPr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1,2 раза превышает план отчетного периода (39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755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,0                     тыс. руб.) и </w:t>
      </w:r>
      <w:r>
        <w:rPr>
          <w:color w:val="000000" w:themeColor="text1"/>
          <w:sz w:val="28"/>
          <w:szCs w:val="28"/>
          <w:highlight w:val="white"/>
        </w:rPr>
        <w:t xml:space="preserve">составляет 96,2 % от плана года (51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086,0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yellow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плата за негативное воздействие на окружающую среду,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администрируемая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color w:val="000000" w:themeColor="text1"/>
          <w:sz w:val="28"/>
          <w:szCs w:val="28"/>
          <w:highlight w:val="white"/>
        </w:rPr>
        <w:t xml:space="preserve">Западно-Уральским межрегиональным управлением </w:t>
      </w:r>
      <w:r>
        <w:rPr>
          <w:i/>
          <w:color w:val="000000" w:themeColor="text1"/>
          <w:sz w:val="28"/>
          <w:szCs w:val="28"/>
          <w:highlight w:val="white"/>
        </w:rPr>
        <w:t xml:space="preserve">Росприроднадзора,</w:t>
      </w:r>
      <w:r>
        <w:rPr>
          <w:color w:val="000000" w:themeColor="text1"/>
          <w:sz w:val="28"/>
          <w:szCs w:val="28"/>
          <w:highlight w:val="white"/>
        </w:rPr>
        <w:t xml:space="preserve"> поступила                    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6 652,5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1,2 раза превышает план отчетного периода (37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529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,6 тыс. руб.) и </w:t>
      </w:r>
      <w:r>
        <w:rPr>
          <w:color w:val="000000" w:themeColor="text1"/>
          <w:sz w:val="28"/>
          <w:szCs w:val="28"/>
          <w:highlight w:val="white"/>
        </w:rPr>
        <w:t xml:space="preserve">сост</w:t>
      </w:r>
      <w:r>
        <w:rPr>
          <w:color w:val="000000" w:themeColor="text1"/>
          <w:sz w:val="28"/>
          <w:szCs w:val="28"/>
          <w:highlight w:val="white"/>
        </w:rPr>
        <w:t xml:space="preserve">авляет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97,2 % от план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а года (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47 </w:t>
      </w:r>
      <w:r>
        <w:rPr>
          <w:color w:val="000000" w:themeColor="text1"/>
          <w:sz w:val="28"/>
          <w:szCs w:val="28"/>
          <w:highlight w:val="white"/>
        </w:rPr>
        <w:t xml:space="preserve">997,3 т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Перевыполнение плана отчетного периода обусловлено внесением платежей за сброс загрязняющих веществ с применением сверхлимитного повышающего коэффициента;</w:t>
      </w:r>
      <w:r>
        <w:rPr>
          <w:rFonts w:eastAsia="Calibri"/>
          <w:color w:val="000000" w:themeColor="text1"/>
          <w:sz w:val="28"/>
          <w:szCs w:val="28"/>
          <w:highlight w:val="yellow"/>
          <w14:ligatures w14:val="none"/>
        </w:rPr>
      </w:r>
      <w:r>
        <w:rPr>
          <w:rFonts w:eastAsia="Calibri"/>
          <w:color w:val="000000" w:themeColor="text1"/>
          <w:sz w:val="28"/>
          <w:szCs w:val="28"/>
          <w:highlight w:val="yellow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eastAsia="Calibri"/>
          <w:b/>
          <w:bCs/>
          <w:i/>
          <w:color w:val="000000" w:themeColor="text1"/>
          <w:sz w:val="28"/>
          <w:szCs w:val="28"/>
          <w:highlight w:val="white"/>
        </w:rPr>
        <w:t xml:space="preserve">плата за использование лесов,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 администрируемая управлением по экологии и природопользованию,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поступила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502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,8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составляет 112,5 %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                    к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плану отчетного периода (2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225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,4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81,0 % к плану года (3 088,7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Перевыполнение плана связано с заключением новых договоров аренды лесных участков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yellow"/>
        </w:rPr>
        <w:suppressLineNumbers w:val="0"/>
      </w:pP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</w:t>
      </w:r>
      <w:r>
        <w:rPr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b/>
          <w:color w:val="000000" w:themeColor="text1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3 956 083,3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что составляет 95,9 </w:t>
      </w:r>
      <w:r>
        <w:rPr>
          <w:color w:val="000000" w:themeColor="text1"/>
          <w:sz w:val="28"/>
          <w:szCs w:val="28"/>
          <w:highlight w:val="white"/>
        </w:rPr>
        <w:t xml:space="preserve">% к плану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(4 125 898,6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 и 70,0</w:t>
      </w:r>
      <w:r>
        <w:rPr>
          <w:color w:val="000000" w:themeColor="text1"/>
          <w:sz w:val="28"/>
          <w:szCs w:val="28"/>
          <w:highlight w:val="white"/>
        </w:rPr>
        <w:t xml:space="preserve"> % к плану го</w:t>
      </w:r>
      <w:r>
        <w:rPr>
          <w:color w:val="000000" w:themeColor="text1"/>
          <w:sz w:val="28"/>
          <w:szCs w:val="28"/>
          <w:highlight w:val="white"/>
        </w:rPr>
        <w:t xml:space="preserve">да (</w:t>
      </w:r>
      <w:r>
        <w:rPr>
          <w:color w:val="000000" w:themeColor="text1"/>
          <w:sz w:val="28"/>
          <w:szCs w:val="28"/>
          <w:highlight w:val="white"/>
        </w:rPr>
        <w:t xml:space="preserve">5 651 966,4 </w:t>
      </w:r>
      <w:r>
        <w:rPr>
          <w:color w:val="000000" w:themeColor="text1"/>
          <w:sz w:val="28"/>
          <w:szCs w:val="28"/>
          <w:highlight w:val="white"/>
        </w:rPr>
        <w:t xml:space="preserve">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проездных документов отдельным категориям граждан города Перми,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448 460,5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96,6 %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464 220,9</w:t>
      </w:r>
      <w:r>
        <w:rPr>
          <w:color w:val="000000" w:themeColor="text1"/>
          <w:sz w:val="28"/>
          <w:szCs w:val="28"/>
          <w:highlight w:val="white"/>
        </w:rPr>
        <w:t xml:space="preserve"> тыс. руб.) и </w:t>
      </w:r>
      <w:r>
        <w:rPr>
          <w:color w:val="000000" w:themeColor="text1"/>
          <w:sz w:val="28"/>
          <w:szCs w:val="28"/>
          <w:highlight w:val="white"/>
        </w:rPr>
        <w:t xml:space="preserve">68,6</w:t>
      </w:r>
      <w:r>
        <w:rPr>
          <w:color w:val="000000" w:themeColor="text1"/>
          <w:sz w:val="28"/>
          <w:szCs w:val="28"/>
          <w:highlight w:val="white"/>
        </w:rPr>
        <w:t xml:space="preserve"> %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653 882,1</w:t>
      </w:r>
      <w:r>
        <w:rPr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352 544,9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111,5 %                   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316 258,0</w:t>
      </w:r>
      <w:r>
        <w:rPr>
          <w:color w:val="000000" w:themeColor="text1"/>
          <w:sz w:val="28"/>
          <w:szCs w:val="28"/>
          <w:highlight w:val="white"/>
        </w:rPr>
        <w:t xml:space="preserve"> тыс. руб.) и 83,3 %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423 200,8                    </w:t>
      </w:r>
      <w:r>
        <w:rPr>
          <w:color w:val="000000" w:themeColor="text1"/>
          <w:sz w:val="28"/>
          <w:szCs w:val="28"/>
          <w:highlight w:val="white"/>
        </w:rPr>
        <w:t xml:space="preserve">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none"/>
        </w:rPr>
        <w:tab/>
      </w:r>
      <w:r>
        <w:rPr>
          <w:i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3 091 314,1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                  тыс. руб., или 93,8 %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3 297 279,5</w:t>
      </w:r>
      <w:r>
        <w:rPr>
          <w:color w:val="000000" w:themeColor="text1"/>
          <w:sz w:val="28"/>
          <w:szCs w:val="28"/>
          <w:highlight w:val="white"/>
        </w:rPr>
        <w:t xml:space="preserve"> тыс. руб.) и 68,5 %                            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4 515 290,6</w:t>
      </w:r>
      <w:r>
        <w:rPr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целом по доходам от платы за проезд выполнение составило 95,5 % от плана отчетного периода.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7030a0"/>
          <w:sz w:val="28"/>
          <w:szCs w:val="28"/>
          <w:highlight w:val="yellow"/>
        </w:rPr>
        <w:suppressLineNumbers w:val="0"/>
      </w:pP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продажи земельных </w:t>
      </w:r>
      <w:r>
        <w:rPr>
          <w:b/>
          <w:color w:val="000000" w:themeColor="text1"/>
          <w:sz w:val="28"/>
          <w:szCs w:val="28"/>
          <w:highlight w:val="white"/>
        </w:rPr>
        <w:t xml:space="preserve">участков, государственная собственность              на которых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126 845,2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87,4 % к плану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145 130,0</w:t>
      </w:r>
      <w:r>
        <w:rPr>
          <w:color w:val="000000" w:themeColor="text1"/>
          <w:sz w:val="28"/>
          <w:szCs w:val="28"/>
          <w:highlight w:val="white"/>
        </w:rPr>
        <w:t xml:space="preserve"> тыс. руб.) и 62,6</w:t>
      </w:r>
      <w:r>
        <w:rPr>
          <w:color w:val="000000" w:themeColor="text1"/>
          <w:sz w:val="28"/>
          <w:szCs w:val="28"/>
          <w:highlight w:val="white"/>
        </w:rPr>
        <w:t xml:space="preserve"> % к плану года (202 788,7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49 882,1 тыс. руб.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оступление средств от продажи земельных участков носит заявительный характер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7030a0"/>
          <w:sz w:val="28"/>
          <w:szCs w:val="28"/>
          <w:highlight w:val="white"/>
        </w:rPr>
        <w:suppressLineNumbers w:val="0"/>
      </w:pP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</w:t>
      </w:r>
      <w:r>
        <w:rPr>
          <w:b/>
          <w:color w:val="000000" w:themeColor="text1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</w:r>
      <w:r>
        <w:rPr>
          <w:b/>
          <w:color w:val="000000" w:themeColor="text1"/>
          <w:sz w:val="28"/>
          <w:szCs w:val="28"/>
          <w:highlight w:val="white"/>
        </w:rPr>
        <w:t xml:space="preserve">собственность              на которых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65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 183,3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100,4 % от плана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64 900,0</w:t>
      </w:r>
      <w:r>
        <w:rPr>
          <w:color w:val="000000" w:themeColor="text1"/>
          <w:sz w:val="28"/>
          <w:szCs w:val="28"/>
          <w:highlight w:val="white"/>
        </w:rPr>
        <w:t xml:space="preserve"> тыс. руб.) и 67,3 % к  плану года (96 901,9 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44 233,3 тыс. руб.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находящегося в собственности городских округов,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размере 86 586,0 тыс. руб., что в 1,3 раза превышает план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(64 864,3 тыс. руб.) и составляет 102,2 % от уточненного плана года (84 753,8 тыс. руб.)</w:t>
      </w:r>
      <w:r>
        <w:rPr>
          <w:color w:val="000000" w:themeColor="text1"/>
          <w:sz w:val="28"/>
          <w:szCs w:val="28"/>
          <w:highlight w:val="white"/>
        </w:rPr>
        <w:t xml:space="preserve">. Относительно аналогичного периода прошлого года поступления по данному виду дохода составили 29,0 %.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результате реализации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муниципального имущества на торгах в порядке, </w:t>
      </w:r>
      <w:r>
        <w:rPr>
          <w:color w:val="000000" w:themeColor="text1"/>
          <w:sz w:val="28"/>
          <w:szCs w:val="28"/>
          <w:highlight w:val="white"/>
        </w:rPr>
        <w:t xml:space="preserve">установленном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Федеральным законом от 21.12.2001 № 178-ФЗ «О приватизации государственного и муниципального имущества», </w:t>
      </w:r>
      <w:r>
        <w:rPr>
          <w:color w:val="000000" w:themeColor="text1"/>
          <w:sz w:val="28"/>
          <w:szCs w:val="28"/>
          <w:highlight w:val="white"/>
        </w:rPr>
        <w:t xml:space="preserve">поступили доходы в сумме</w:t>
      </w:r>
      <w:r>
        <w:rPr>
          <w:color w:val="000000" w:themeColor="text1"/>
          <w:sz w:val="28"/>
          <w:szCs w:val="28"/>
          <w:highlight w:val="white"/>
        </w:rPr>
        <w:t xml:space="preserve"> 59 048,6 тыс. руб., что в 1,6 раза превышает план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(36</w:t>
      </w:r>
      <w:r>
        <w:rPr>
          <w:color w:val="000000" w:themeColor="text1"/>
          <w:sz w:val="28"/>
          <w:szCs w:val="28"/>
          <w:highlight w:val="white"/>
        </w:rPr>
        <w:t xml:space="preserve"> 523,4</w:t>
      </w:r>
      <w:r>
        <w:rPr>
          <w:color w:val="000000" w:themeColor="text1"/>
          <w:sz w:val="28"/>
          <w:szCs w:val="28"/>
          <w:highlight w:val="white"/>
        </w:rPr>
        <w:t xml:space="preserve"> тыс. руб.)                           и в 1,3 раза уточненный план года (45 675,1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Перевыполнение плана обусловлено</w:t>
      </w:r>
      <w:r>
        <w:rPr>
          <w:color w:val="000000" w:themeColor="text1"/>
          <w:sz w:val="28"/>
          <w:szCs w:val="28"/>
          <w:highlight w:val="none"/>
        </w:rPr>
        <w:t xml:space="preserve"> реализацией долей в праве на земельные участки по цене выше запланированной.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В результате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доходы поступили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27 537,4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color w:val="000000" w:themeColor="text1"/>
          <w:sz w:val="28"/>
          <w:szCs w:val="28"/>
          <w:highlight w:val="white"/>
        </w:rPr>
        <w:t xml:space="preserve">что составляет 98,4 % от плана отчетного периода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(27 977,9                         тыс. руб.) и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71,3 % от плана года (38 597,7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7030a0"/>
          <w:sz w:val="28"/>
          <w:szCs w:val="28"/>
          <w:highlight w:val="none"/>
        </w:rPr>
        <w:suppressLineNumbers w:val="0"/>
      </w:pPr>
      <w:r>
        <w:rPr>
          <w:rFonts w:eastAsia="Calibri"/>
          <w:color w:val="7030a0"/>
          <w:sz w:val="28"/>
          <w:szCs w:val="28"/>
          <w:highlight w:val="none"/>
        </w:rPr>
      </w:r>
      <w:r>
        <w:rPr>
          <w:rFonts w:eastAsia="Calibri"/>
          <w:color w:val="7030a0"/>
          <w:sz w:val="28"/>
          <w:szCs w:val="28"/>
          <w:highlight w:val="none"/>
        </w:rPr>
      </w:r>
      <w:r>
        <w:rPr>
          <w:rFonts w:eastAsia="Calibri"/>
          <w:color w:val="7030a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  <w:highlight w:val="non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П</w:t>
      </w:r>
      <w:r>
        <w:rPr>
          <w:b/>
          <w:color w:val="auto"/>
          <w:sz w:val="28"/>
          <w:szCs w:val="28"/>
          <w:highlight w:val="white"/>
        </w:rPr>
        <w:t xml:space="preserve">рочие неналоговые доходы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оступили в сумме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173 684,8</w:t>
      </w:r>
      <w:r>
        <w:rPr>
          <w:color w:val="auto"/>
          <w:sz w:val="28"/>
          <w:szCs w:val="28"/>
          <w:highlight w:val="none"/>
        </w:rPr>
        <w:t xml:space="preserve"> тыс. руб., что в 1,7 раза превышает план отчетного периода </w:t>
      </w:r>
      <w:r>
        <w:rPr>
          <w:rFonts w:eastAsia="Calibri"/>
          <w:color w:val="auto"/>
          <w:sz w:val="28"/>
          <w:szCs w:val="28"/>
          <w:highlight w:val="none"/>
        </w:rPr>
        <w:t xml:space="preserve">(105 115,0</w:t>
      </w:r>
      <w:r>
        <w:rPr>
          <w:rFonts w:eastAsia="Calibri"/>
          <w:color w:val="auto"/>
          <w:sz w:val="28"/>
          <w:szCs w:val="28"/>
          <w:highlight w:val="none"/>
        </w:rPr>
        <w:t xml:space="preserve"> тыс. руб.) и составляет </w:t>
      </w:r>
      <w:r>
        <w:rPr>
          <w:rFonts w:eastAsia="Calibri"/>
          <w:color w:val="auto"/>
          <w:sz w:val="28"/>
          <w:szCs w:val="28"/>
          <w:highlight w:val="none"/>
        </w:rPr>
        <w:t xml:space="preserve">112,3</w:t>
      </w:r>
      <w:r>
        <w:rPr>
          <w:rFonts w:eastAsia="Calibri"/>
          <w:color w:val="auto"/>
          <w:sz w:val="28"/>
          <w:szCs w:val="28"/>
          <w:highlight w:val="none"/>
        </w:rPr>
        <w:t xml:space="preserve"> %             </w:t>
      </w:r>
      <w:r>
        <w:rPr>
          <w:rFonts w:eastAsia="Calibri"/>
          <w:color w:val="auto"/>
          <w:sz w:val="28"/>
          <w:szCs w:val="28"/>
          <w:highlight w:val="white"/>
        </w:rPr>
        <w:t xml:space="preserve">к плану года (154 615,6 тыс. руб.)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auto"/>
          <w:sz w:val="18"/>
          <w:szCs w:val="18"/>
          <w:highlight w:val="white"/>
        </w:rPr>
        <w:suppressLineNumbers w:val="0"/>
      </w:pPr>
      <w:r>
        <w:rPr>
          <w:color w:val="auto"/>
          <w:sz w:val="18"/>
          <w:szCs w:val="18"/>
          <w:highlight w:val="white"/>
        </w:rPr>
      </w:r>
      <w:r>
        <w:rPr>
          <w:color w:val="auto"/>
          <w:sz w:val="18"/>
          <w:szCs w:val="18"/>
          <w:highlight w:val="white"/>
        </w:rPr>
      </w:r>
      <w:r>
        <w:rPr>
          <w:color w:val="auto"/>
          <w:sz w:val="18"/>
          <w:szCs w:val="1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auto"/>
          <w:sz w:val="20"/>
          <w:szCs w:val="20"/>
          <w:highlight w:val="white"/>
        </w:rPr>
        <w:suppressLineNumbers w:val="0"/>
      </w:pPr>
      <w:r>
        <w:rPr>
          <w:color w:val="auto"/>
          <w:sz w:val="20"/>
          <w:szCs w:val="20"/>
          <w:highlight w:val="none"/>
        </w:rPr>
      </w: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auto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В том числе: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auto"/>
          <w:sz w:val="28"/>
          <w:szCs w:val="28"/>
          <w:highlight w:val="white"/>
        </w:rPr>
        <w:suppressLineNumbers w:val="0"/>
      </w:pPr>
      <w:r>
        <w:rPr>
          <w:b/>
          <w:bCs/>
          <w:color w:val="auto"/>
          <w:sz w:val="28"/>
          <w:szCs w:val="28"/>
          <w:highlight w:val="yellow"/>
        </w:rPr>
      </w:r>
      <w:r>
        <w:rPr>
          <w:b/>
          <w:i/>
          <w:color w:val="auto"/>
          <w:sz w:val="28"/>
          <w:szCs w:val="28"/>
          <w:highlight w:val="white"/>
        </w:rPr>
        <w:t xml:space="preserve">-</w:t>
      </w:r>
      <w:r>
        <w:rPr>
          <w:b/>
          <w:i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auto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/>
          <w:color w:val="auto"/>
          <w:sz w:val="28"/>
          <w:szCs w:val="28"/>
          <w:highlight w:val="white"/>
        </w:rPr>
        <w:t xml:space="preserve"> администрируемая </w:t>
      </w:r>
      <w:r>
        <w:rPr>
          <w:i/>
          <w:color w:val="auto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/>
          <w:color w:val="auto"/>
          <w:sz w:val="28"/>
          <w:szCs w:val="28"/>
          <w:highlight w:val="white"/>
        </w:rPr>
        <w:t xml:space="preserve">ю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поступила в сумме 83</w:t>
      </w:r>
      <w:r>
        <w:rPr>
          <w:rFonts w:eastAsia="Calibri"/>
          <w:color w:val="auto"/>
          <w:sz w:val="28"/>
          <w:szCs w:val="28"/>
          <w:highlight w:val="white"/>
        </w:rPr>
        <w:t xml:space="preserve"> 928,8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руб., </w:t>
      </w:r>
      <w:r>
        <w:rPr>
          <w:rFonts w:eastAsia="Calibri"/>
          <w:color w:val="auto"/>
          <w:sz w:val="28"/>
          <w:szCs w:val="28"/>
          <w:highlight w:val="white"/>
        </w:rPr>
        <w:t xml:space="preserve">что в 4,3 раза превышает план </w:t>
      </w:r>
      <w:r>
        <w:rPr>
          <w:rFonts w:eastAsia="Calibri"/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color w:val="auto"/>
          <w:sz w:val="28"/>
          <w:szCs w:val="28"/>
          <w:highlight w:val="white"/>
        </w:rPr>
        <w:t xml:space="preserve"> (19</w:t>
      </w:r>
      <w:r>
        <w:rPr>
          <w:rFonts w:eastAsia="Calibri"/>
          <w:color w:val="auto"/>
          <w:sz w:val="28"/>
          <w:szCs w:val="28"/>
          <w:highlight w:val="white"/>
        </w:rPr>
        <w:t xml:space="preserve"> 700,0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руб.) </w:t>
      </w:r>
      <w:r>
        <w:rPr>
          <w:rFonts w:eastAsia="Calibri"/>
          <w:color w:val="auto"/>
          <w:sz w:val="28"/>
          <w:szCs w:val="28"/>
          <w:highlight w:val="white"/>
        </w:rPr>
        <w:t xml:space="preserve">и в</w:t>
      </w:r>
      <w:r>
        <w:rPr>
          <w:rFonts w:eastAsia="Calibri"/>
          <w:color w:val="auto"/>
          <w:sz w:val="28"/>
          <w:szCs w:val="28"/>
          <w:highlight w:val="white"/>
        </w:rPr>
        <w:t xml:space="preserve"> 1,7 раза план года (50 550,3 тыс. руб.)</w:t>
      </w:r>
      <w:r>
        <w:rPr>
          <w:rFonts w:eastAsia="Calibri"/>
          <w:color w:val="auto"/>
          <w:sz w:val="28"/>
          <w:szCs w:val="28"/>
          <w:highlight w:val="white"/>
        </w:rPr>
        <w:t xml:space="preserve">.</w:t>
      </w:r>
      <w:r>
        <w:rPr>
          <w:rFonts w:eastAsia="Calibri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Перевыполнение плана обусловлено поступлениями                           от крупных предприятий в сфере строительства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;</w:t>
      </w:r>
      <w:r>
        <w:rPr>
          <w:rFonts w:eastAsia="Calibri"/>
          <w:color w:val="auto"/>
          <w:sz w:val="28"/>
          <w:szCs w:val="28"/>
          <w:highlight w:val="white"/>
        </w:rPr>
      </w:r>
      <w:r>
        <w:rPr>
          <w:rFonts w:eastAsia="Calibri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auto"/>
          <w:sz w:val="28"/>
          <w:szCs w:val="28"/>
          <w:highlight w:val="white"/>
        </w:rPr>
        <w:suppressLineNumbers w:val="0"/>
      </w:pP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п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м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и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до раз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а также находящимися в муниципальной собственности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 администрируемая 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поступила в сумме 52 016,7 тыс. руб.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, что на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7,2 %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превышает план отчетного периода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(48 540,0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и составляет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76,0 %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годового планового задания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(68 465,1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тыс. руб.).</w:t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numPr>
          <w:ilvl w:val="0"/>
          <w:numId w:val="1"/>
        </w:numPr>
        <w:jc w:val="center"/>
        <w:spacing w:line="240" w:lineRule="atLeast"/>
        <w:rPr>
          <w:b/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color w:val="auto"/>
          <w:sz w:val="28"/>
          <w:szCs w:val="28"/>
          <w:highlight w:val="white"/>
        </w:rPr>
      </w:r>
      <w:r>
        <w:rPr>
          <w:b/>
          <w:color w:val="auto"/>
          <w:sz w:val="28"/>
          <w:szCs w:val="28"/>
          <w:highlight w:val="white"/>
        </w:rPr>
      </w:r>
    </w:p>
    <w:p>
      <w:pPr>
        <w:ind w:firstLine="360"/>
        <w:jc w:val="center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(</w:t>
      </w:r>
      <w:r>
        <w:rPr>
          <w:color w:val="auto"/>
          <w:sz w:val="28"/>
          <w:szCs w:val="28"/>
          <w:highlight w:val="white"/>
        </w:rPr>
        <w:t xml:space="preserve">приложение 2 к настоящей записке)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0"/>
        <w:spacing w:line="240" w:lineRule="auto"/>
        <w:tabs>
          <w:tab w:val="left" w:pos="7938" w:leader="none"/>
        </w:tabs>
        <w:rPr>
          <w:color w:val="auto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</w:t>
      </w:r>
      <w:r>
        <w:rPr>
          <w:color w:val="auto"/>
          <w:sz w:val="28"/>
          <w:szCs w:val="28"/>
          <w:highlight w:val="white"/>
        </w:rPr>
        <w:t xml:space="preserve">Кассовые расходы бюджета (без учёта зарезервированных </w:t>
      </w:r>
      <w:r>
        <w:rPr>
          <w:color w:val="auto"/>
          <w:sz w:val="28"/>
          <w:szCs w:val="28"/>
          <w:highlight w:val="white"/>
        </w:rPr>
        <w:t xml:space="preserve">средств:</w:t>
      </w:r>
      <w:r>
        <w:rPr>
          <w:color w:val="auto"/>
          <w:sz w:val="28"/>
          <w:szCs w:val="28"/>
          <w:highlight w:val="white"/>
        </w:rPr>
        <w:t xml:space="preserve"> на исполнение судебных исков, резервного фонда администрации города) на 1 </w:t>
      </w:r>
      <w:r>
        <w:rPr>
          <w:color w:val="auto"/>
          <w:sz w:val="28"/>
          <w:szCs w:val="28"/>
          <w:highlight w:val="white"/>
        </w:rPr>
        <w:t xml:space="preserve">октября 2025 года составил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41 484 060,6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</w:t>
      </w:r>
      <w:r>
        <w:rPr>
          <w:color w:val="auto"/>
          <w:sz w:val="28"/>
          <w:szCs w:val="28"/>
          <w:highlight w:val="white"/>
        </w:rPr>
        <w:t xml:space="preserve">б., </w:t>
      </w:r>
      <w:r>
        <w:rPr>
          <w:color w:val="auto"/>
          <w:sz w:val="28"/>
          <w:szCs w:val="28"/>
          <w:highlight w:val="white"/>
        </w:rPr>
        <w:t xml:space="preserve">или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97,3</w:t>
      </w:r>
      <w:r>
        <w:rPr>
          <w:b/>
          <w:color w:val="auto"/>
          <w:sz w:val="28"/>
          <w:szCs w:val="28"/>
          <w:highlight w:val="white"/>
        </w:rPr>
        <w:t xml:space="preserve"> % </w:t>
      </w:r>
      <w:r>
        <w:rPr>
          <w:color w:val="auto"/>
          <w:sz w:val="28"/>
          <w:szCs w:val="28"/>
          <w:highlight w:val="white"/>
        </w:rPr>
        <w:t xml:space="preserve">от кассо</w:t>
      </w:r>
      <w:r>
        <w:rPr>
          <w:color w:val="auto"/>
          <w:sz w:val="28"/>
          <w:szCs w:val="28"/>
          <w:highlight w:val="white"/>
        </w:rPr>
        <w:t xml:space="preserve">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                     (42 643 840,1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.) 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60,1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го</w:t>
      </w:r>
      <w:r>
        <w:rPr>
          <w:color w:val="auto"/>
          <w:sz w:val="28"/>
          <w:szCs w:val="28"/>
          <w:highlight w:val="white"/>
        </w:rPr>
        <w:t xml:space="preserve">довы</w:t>
      </w:r>
      <w:r>
        <w:rPr>
          <w:color w:val="auto"/>
          <w:sz w:val="28"/>
          <w:szCs w:val="28"/>
          <w:highlight w:val="white"/>
        </w:rPr>
        <w:t xml:space="preserve">х ассигнований</w:t>
      </w:r>
      <w:r>
        <w:rPr>
          <w:color w:val="auto"/>
          <w:sz w:val="28"/>
          <w:szCs w:val="28"/>
          <w:highlight w:val="white"/>
        </w:rPr>
        <w:t xml:space="preserve"> (</w:t>
      </w:r>
      <w:r>
        <w:rPr>
          <w:color w:val="auto"/>
          <w:sz w:val="28"/>
          <w:szCs w:val="28"/>
          <w:highlight w:val="white"/>
        </w:rPr>
        <w:t xml:space="preserve">68 995 241,2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.). </w:t>
      </w:r>
      <w:r>
        <w:rPr>
          <w:color w:val="000000" w:themeColor="text1"/>
          <w:sz w:val="28"/>
          <w:szCs w:val="28"/>
          <w:highlight w:val="white"/>
        </w:rPr>
        <w:t xml:space="preserve">Исполнение по расходам за январь-</w:t>
      </w:r>
      <w:r>
        <w:rPr>
          <w:color w:val="000000" w:themeColor="text1"/>
          <w:sz w:val="28"/>
          <w:szCs w:val="28"/>
          <w:highlight w:val="white"/>
        </w:rPr>
        <w:t xml:space="preserve">сентябрь 2024 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36 285 276,2         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., и</w:t>
      </w:r>
      <w:r>
        <w:rPr>
          <w:color w:val="000000" w:themeColor="text1"/>
          <w:sz w:val="28"/>
          <w:szCs w:val="28"/>
          <w:highlight w:val="white"/>
        </w:rPr>
        <w:t xml:space="preserve">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96,8</w:t>
      </w:r>
      <w:r>
        <w:rPr>
          <w:b/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  <w:t xml:space="preserve"> кассового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периода 2024 </w:t>
      </w:r>
      <w:r>
        <w:rPr>
          <w:color w:val="000000" w:themeColor="text1"/>
          <w:sz w:val="28"/>
          <w:szCs w:val="28"/>
          <w:highlight w:val="white"/>
        </w:rPr>
        <w:t xml:space="preserve">года 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60,9</w:t>
      </w:r>
      <w:r>
        <w:rPr>
          <w:b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                      от годовых </w:t>
      </w:r>
      <w:r>
        <w:rPr>
          <w:color w:val="000000" w:themeColor="text1"/>
          <w:sz w:val="28"/>
          <w:szCs w:val="28"/>
          <w:highlight w:val="white"/>
        </w:rPr>
        <w:t xml:space="preserve">ассигнований. 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  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0"/>
        <w:spacing w:line="240" w:lineRule="auto"/>
        <w:tabs>
          <w:tab w:val="left" w:pos="7938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Рас</w:t>
      </w:r>
      <w:r>
        <w:rPr>
          <w:color w:val="auto"/>
          <w:sz w:val="28"/>
          <w:szCs w:val="28"/>
          <w:highlight w:val="white"/>
        </w:rPr>
        <w:t xml:space="preserve">ходная часть бюджета за январь-</w:t>
      </w:r>
      <w:r>
        <w:rPr>
          <w:color w:val="auto"/>
          <w:sz w:val="28"/>
          <w:szCs w:val="28"/>
          <w:highlight w:val="white"/>
        </w:rPr>
        <w:t xml:space="preserve">сентябрь </w:t>
      </w:r>
      <w:r>
        <w:rPr>
          <w:color w:val="auto"/>
          <w:sz w:val="28"/>
          <w:szCs w:val="28"/>
          <w:highlight w:val="white"/>
        </w:rPr>
        <w:t xml:space="preserve">2025 года в разрезе источников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финансирования исполнена следующим образом.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tLeast"/>
        <w:rPr>
          <w:color w:val="auto"/>
          <w:sz w:val="20"/>
          <w:szCs w:val="16"/>
          <w:highlight w:val="white"/>
        </w:rPr>
      </w:pPr>
      <w:r>
        <w:rPr>
          <w:color w:val="auto"/>
          <w:sz w:val="20"/>
          <w:szCs w:val="16"/>
          <w:highlight w:val="white"/>
        </w:rPr>
      </w:r>
      <w:r>
        <w:rPr>
          <w:color w:val="auto"/>
          <w:sz w:val="20"/>
          <w:szCs w:val="16"/>
          <w:highlight w:val="white"/>
        </w:rPr>
      </w:r>
      <w:r>
        <w:rPr>
          <w:color w:val="auto"/>
          <w:sz w:val="20"/>
          <w:szCs w:val="16"/>
          <w:highlight w:val="white"/>
        </w:rPr>
      </w:r>
    </w:p>
    <w:p>
      <w:pPr>
        <w:ind w:firstLine="709"/>
        <w:spacing w:line="240" w:lineRule="atLeast"/>
        <w:rPr>
          <w:b/>
          <w:bCs/>
          <w:color w:val="auto"/>
          <w:sz w:val="20"/>
          <w:szCs w:val="20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2.1. за счет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учёта зарезервированных средств) </w:t>
      </w:r>
      <w:r>
        <w:rPr>
          <w:color w:val="auto"/>
          <w:sz w:val="28"/>
          <w:szCs w:val="28"/>
          <w:highlight w:val="white"/>
        </w:rPr>
        <w:t xml:space="preserve">- кассовое исполнение </w:t>
      </w:r>
      <w:r>
        <w:rPr>
          <w:color w:val="auto"/>
          <w:sz w:val="28"/>
          <w:szCs w:val="28"/>
          <w:highlight w:val="white"/>
        </w:rPr>
        <w:t xml:space="preserve">составл</w:t>
      </w:r>
      <w:r>
        <w:rPr>
          <w:color w:val="auto"/>
          <w:sz w:val="28"/>
          <w:szCs w:val="28"/>
          <w:highlight w:val="white"/>
        </w:rPr>
        <w:t xml:space="preserve">я</w:t>
      </w:r>
      <w:r>
        <w:rPr>
          <w:color w:val="auto"/>
          <w:sz w:val="28"/>
          <w:szCs w:val="28"/>
          <w:highlight w:val="white"/>
        </w:rPr>
        <w:t xml:space="preserve">ет</w:t>
      </w:r>
      <w:r>
        <w:rPr>
          <w:color w:val="auto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24 469 007,5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color w:val="auto"/>
          <w:sz w:val="28"/>
          <w:szCs w:val="28"/>
        </w:rPr>
        <w:t xml:space="preserve">96,3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–           </w:t>
      </w:r>
      <w:r>
        <w:rPr>
          <w:color w:val="auto"/>
          <w:sz w:val="28"/>
          <w:szCs w:val="28"/>
          <w:highlight w:val="white"/>
        </w:rPr>
        <w:t xml:space="preserve">25 409 091,1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</w:rPr>
        <w:t xml:space="preserve">59,2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годовых</w:t>
      </w:r>
      <w:r>
        <w:rPr>
          <w:color w:val="auto"/>
          <w:sz w:val="28"/>
          <w:szCs w:val="28"/>
          <w:highlight w:val="white"/>
        </w:rPr>
        <w:t xml:space="preserve"> а</w:t>
      </w:r>
      <w:r>
        <w:rPr>
          <w:color w:val="auto"/>
          <w:sz w:val="28"/>
          <w:szCs w:val="28"/>
          <w:highlight w:val="white"/>
        </w:rPr>
        <w:t xml:space="preserve">сси</w:t>
      </w:r>
      <w:r>
        <w:rPr>
          <w:color w:val="auto"/>
          <w:sz w:val="28"/>
          <w:szCs w:val="28"/>
          <w:highlight w:val="white"/>
        </w:rPr>
        <w:t xml:space="preserve">гнований.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                     за январь-</w:t>
      </w:r>
      <w:r>
        <w:rPr>
          <w:color w:val="000000" w:themeColor="text1"/>
          <w:sz w:val="28"/>
          <w:szCs w:val="28"/>
          <w:highlight w:val="white"/>
        </w:rPr>
        <w:t xml:space="preserve">сентябрь 2024 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19 863 712,0</w:t>
      </w:r>
      <w:r>
        <w:rPr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color w:val="000000" w:themeColor="text1"/>
          <w:sz w:val="28"/>
          <w:szCs w:val="28"/>
        </w:rPr>
        <w:t xml:space="preserve">95,4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      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от к</w:t>
      </w:r>
      <w:r>
        <w:rPr>
          <w:color w:val="000000" w:themeColor="text1"/>
          <w:sz w:val="28"/>
          <w:szCs w:val="28"/>
          <w:highlight w:val="white"/>
        </w:rPr>
        <w:t xml:space="preserve">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2024 </w:t>
      </w:r>
      <w:r>
        <w:rPr>
          <w:color w:val="000000" w:themeColor="text1"/>
          <w:sz w:val="28"/>
          <w:szCs w:val="28"/>
          <w:highlight w:val="white"/>
        </w:rPr>
        <w:t xml:space="preserve">года и </w:t>
      </w:r>
      <w:r>
        <w:rPr>
          <w:b/>
          <w:color w:val="000000" w:themeColor="text1"/>
          <w:sz w:val="28"/>
          <w:szCs w:val="28"/>
        </w:rPr>
        <w:t xml:space="preserve">58,9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от годовых ассигнований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auto"/>
          <w:sz w:val="28"/>
          <w:szCs w:val="28"/>
          <w:highlight w:val="white"/>
        </w:rPr>
        <w:t xml:space="preserve">   </w:t>
      </w:r>
      <w:r>
        <w:rPr>
          <w:b/>
          <w:bCs/>
          <w:color w:val="auto"/>
          <w:sz w:val="20"/>
          <w:szCs w:val="20"/>
          <w:highlight w:val="white"/>
        </w:rPr>
        <w:t xml:space="preserve">       </w:t>
      </w:r>
      <w:r>
        <w:rPr>
          <w:b/>
          <w:bCs/>
          <w:color w:val="auto"/>
          <w:sz w:val="20"/>
          <w:szCs w:val="20"/>
          <w:highlight w:val="white"/>
        </w:rPr>
      </w:r>
      <w:r>
        <w:rPr>
          <w:b/>
          <w:bCs/>
          <w:color w:val="auto"/>
          <w:sz w:val="20"/>
          <w:szCs w:val="20"/>
          <w:highlight w:val="white"/>
        </w:rPr>
      </w:r>
    </w:p>
    <w:p>
      <w:pPr>
        <w:ind w:firstLine="709"/>
        <w:spacing w:line="240" w:lineRule="atLeast"/>
        <w:tabs>
          <w:tab w:val="right" w:pos="10488" w:leader="none"/>
        </w:tabs>
        <w:rPr>
          <w:b/>
          <w:bCs/>
          <w:color w:val="auto"/>
          <w:sz w:val="20"/>
          <w:szCs w:val="20"/>
          <w:highlight w:val="white"/>
        </w:rPr>
      </w:pPr>
      <w:r>
        <w:rPr>
          <w:b/>
          <w:bCs/>
          <w:color w:val="auto"/>
          <w:sz w:val="20"/>
          <w:szCs w:val="20"/>
          <w:highlight w:val="white"/>
        </w:rPr>
        <w:t xml:space="preserve">   </w:t>
      </w:r>
      <w:r>
        <w:rPr>
          <w:b/>
          <w:bCs/>
          <w:color w:val="auto"/>
          <w:sz w:val="16"/>
          <w:szCs w:val="20"/>
          <w:highlight w:val="white"/>
        </w:rPr>
        <w:t xml:space="preserve">   </w:t>
      </w:r>
      <w:r>
        <w:rPr>
          <w:b/>
          <w:bCs/>
          <w:color w:val="auto"/>
          <w:sz w:val="20"/>
          <w:szCs w:val="20"/>
          <w:highlight w:val="white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auto"/>
          <w:sz w:val="20"/>
          <w:szCs w:val="20"/>
          <w:highlight w:val="white"/>
        </w:rPr>
        <w:tab/>
      </w:r>
      <w:r>
        <w:rPr>
          <w:b/>
          <w:bCs/>
          <w:color w:val="auto"/>
          <w:sz w:val="20"/>
          <w:szCs w:val="20"/>
          <w:highlight w:val="white"/>
        </w:rPr>
      </w:r>
      <w:r>
        <w:rPr>
          <w:b/>
          <w:bCs/>
          <w:color w:val="auto"/>
          <w:sz w:val="20"/>
          <w:szCs w:val="20"/>
          <w:highlight w:val="white"/>
        </w:rPr>
      </w:r>
    </w:p>
    <w:p>
      <w:pPr>
        <w:ind w:firstLine="709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государственных полномочий, -</w:t>
      </w:r>
      <w:r>
        <w:rPr>
          <w:color w:val="auto"/>
          <w:sz w:val="28"/>
          <w:szCs w:val="28"/>
          <w:highlight w:val="white"/>
        </w:rPr>
        <w:t xml:space="preserve"> кассовое исполнение состав</w:t>
      </w:r>
      <w:r>
        <w:rPr>
          <w:color w:val="auto"/>
          <w:sz w:val="28"/>
          <w:szCs w:val="28"/>
          <w:highlight w:val="white"/>
        </w:rPr>
        <w:t xml:space="preserve">ля</w:t>
      </w:r>
      <w:r>
        <w:rPr>
          <w:color w:val="auto"/>
          <w:sz w:val="28"/>
          <w:szCs w:val="28"/>
          <w:highlight w:val="white"/>
        </w:rPr>
        <w:t xml:space="preserve">ет</w:t>
      </w:r>
      <w:r>
        <w:rPr>
          <w:color w:val="auto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12 228 135,0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</w:t>
      </w:r>
      <w:r>
        <w:rPr>
          <w:color w:val="auto"/>
          <w:sz w:val="28"/>
          <w:szCs w:val="28"/>
          <w:highlight w:val="white"/>
        </w:rPr>
        <w:t xml:space="preserve">. руб., </w:t>
      </w:r>
      <w:r>
        <w:rPr>
          <w:color w:val="auto"/>
          <w:sz w:val="28"/>
          <w:szCs w:val="28"/>
          <w:highlight w:val="white"/>
        </w:rPr>
        <w:t xml:space="preserve">или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99,5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                </w:t>
      </w:r>
      <w:r>
        <w:rPr>
          <w:b/>
          <w:color w:val="auto"/>
          <w:sz w:val="28"/>
          <w:szCs w:val="28"/>
          <w:highlight w:val="white"/>
        </w:rPr>
        <w:t xml:space="preserve">     </w:t>
      </w:r>
      <w:r>
        <w:rPr>
          <w:color w:val="auto"/>
          <w:sz w:val="28"/>
          <w:szCs w:val="28"/>
          <w:highlight w:val="white"/>
        </w:rPr>
        <w:t xml:space="preserve">от кассового плана отчетного перио</w:t>
      </w:r>
      <w:r>
        <w:rPr>
          <w:color w:val="auto"/>
          <w:sz w:val="28"/>
          <w:szCs w:val="28"/>
          <w:highlight w:val="white"/>
        </w:rPr>
        <w:t xml:space="preserve">да –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12 285 070,0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 и </w:t>
      </w:r>
      <w:r>
        <w:rPr>
          <w:b/>
          <w:color w:val="auto"/>
          <w:sz w:val="28"/>
          <w:szCs w:val="28"/>
          <w:highlight w:val="none"/>
        </w:rPr>
        <w:t xml:space="preserve">70,5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</w:t>
      </w:r>
      <w:r>
        <w:rPr>
          <w:color w:val="auto"/>
          <w:sz w:val="28"/>
          <w:szCs w:val="28"/>
          <w:highlight w:val="white"/>
        </w:rPr>
        <w:t xml:space="preserve"> годовы</w:t>
      </w:r>
      <w:r>
        <w:rPr>
          <w:color w:val="auto"/>
          <w:sz w:val="28"/>
          <w:szCs w:val="28"/>
          <w:highlight w:val="white"/>
        </w:rPr>
        <w:t xml:space="preserve">х ассигнований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 январь-</w:t>
      </w:r>
      <w:r>
        <w:rPr>
          <w:color w:val="000000" w:themeColor="text1"/>
          <w:sz w:val="28"/>
          <w:szCs w:val="28"/>
          <w:highlight w:val="white"/>
        </w:rPr>
        <w:t xml:space="preserve">сентябрь 2024 года составляло                     </w:t>
      </w:r>
      <w:r>
        <w:rPr>
          <w:color w:val="000000" w:themeColor="text1"/>
          <w:sz w:val="28"/>
          <w:szCs w:val="28"/>
          <w:highlight w:val="white"/>
        </w:rPr>
        <w:t xml:space="preserve">10 470 212,6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 руб., </w:t>
      </w:r>
      <w:r>
        <w:rPr>
          <w:color w:val="000000" w:themeColor="text1"/>
          <w:sz w:val="28"/>
          <w:szCs w:val="28"/>
          <w:highlight w:val="white"/>
        </w:rPr>
        <w:t xml:space="preserve">ил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color w:val="000000" w:themeColor="text1"/>
          <w:sz w:val="28"/>
          <w:szCs w:val="28"/>
        </w:rPr>
        <w:t xml:space="preserve">99,1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от кассового плана</w:t>
      </w:r>
      <w:r>
        <w:rPr>
          <w:color w:val="000000" w:themeColor="text1"/>
          <w:sz w:val="28"/>
          <w:szCs w:val="28"/>
          <w:highlight w:val="white"/>
        </w:rPr>
        <w:t xml:space="preserve"> отчетного периода 2024 </w:t>
      </w:r>
      <w:r>
        <w:rPr>
          <w:color w:val="000000" w:themeColor="text1"/>
          <w:sz w:val="28"/>
          <w:szCs w:val="28"/>
          <w:highlight w:val="white"/>
        </w:rPr>
        <w:t xml:space="preserve">года                 и </w:t>
      </w:r>
      <w:r>
        <w:rPr>
          <w:b/>
          <w:bCs/>
          <w:color w:val="000000" w:themeColor="text1"/>
          <w:sz w:val="28"/>
          <w:szCs w:val="28"/>
        </w:rPr>
        <w:t xml:space="preserve">67,2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 ассигнований.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tLeast"/>
        <w:rPr>
          <w:color w:val="auto"/>
          <w:sz w:val="16"/>
          <w:szCs w:val="16"/>
          <w:highlight w:val="white"/>
        </w:rPr>
      </w:pP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</w:p>
    <w:p>
      <w:pPr>
        <w:ind w:firstLine="720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color w:val="auto"/>
          <w:sz w:val="28"/>
          <w:highlight w:val="white"/>
        </w:rPr>
        <w:t xml:space="preserve">2.3. за счет средств, переданных из краевого бюджета на выполнение по</w:t>
      </w:r>
      <w:r>
        <w:rPr>
          <w:b/>
          <w:color w:val="auto"/>
          <w:sz w:val="28"/>
          <w:highlight w:val="white"/>
        </w:rPr>
        <w:t xml:space="preserve">лномочий городского округа, - </w:t>
      </w:r>
      <w:r>
        <w:rPr>
          <w:color w:val="auto"/>
          <w:sz w:val="28"/>
          <w:szCs w:val="28"/>
          <w:highlight w:val="white"/>
        </w:rPr>
        <w:t xml:space="preserve">кассовое исполнение </w:t>
      </w:r>
      <w:r>
        <w:rPr>
          <w:color w:val="auto"/>
          <w:sz w:val="28"/>
          <w:szCs w:val="28"/>
          <w:highlight w:val="white"/>
        </w:rPr>
        <w:t xml:space="preserve">сост</w:t>
      </w:r>
      <w:r>
        <w:rPr>
          <w:color w:val="auto"/>
          <w:sz w:val="28"/>
          <w:szCs w:val="28"/>
          <w:highlight w:val="white"/>
        </w:rPr>
        <w:t xml:space="preserve">авляет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4 786 918,1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  </w:t>
      </w:r>
      <w:r>
        <w:rPr>
          <w:b/>
          <w:bCs/>
          <w:color w:val="auto"/>
          <w:sz w:val="28"/>
          <w:szCs w:val="28"/>
          <w:highlight w:val="white"/>
        </w:rPr>
        <w:t xml:space="preserve">              </w:t>
      </w:r>
      <w:r>
        <w:rPr>
          <w:b/>
          <w:bCs/>
          <w:color w:val="auto"/>
          <w:sz w:val="28"/>
          <w:szCs w:val="28"/>
          <w:highlight w:val="white"/>
        </w:rPr>
        <w:t xml:space="preserve">      </w:t>
      </w:r>
      <w:r>
        <w:rPr>
          <w:color w:val="auto"/>
          <w:sz w:val="28"/>
          <w:szCs w:val="28"/>
          <w:highlight w:val="white"/>
        </w:rPr>
        <w:t xml:space="preserve">тыс. руб.,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ли </w:t>
      </w:r>
      <w:r>
        <w:rPr>
          <w:b/>
          <w:color w:val="auto"/>
          <w:sz w:val="28"/>
          <w:szCs w:val="28"/>
        </w:rPr>
        <w:t xml:space="preserve">96,7</w:t>
      </w:r>
      <w:r>
        <w:rPr>
          <w:b/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 от</w:t>
      </w:r>
      <w:r>
        <w:rPr>
          <w:color w:val="auto"/>
          <w:sz w:val="28"/>
          <w:szCs w:val="28"/>
          <w:highlight w:val="white"/>
        </w:rPr>
        <w:t xml:space="preserve"> кассового плана отчетного периода – </w:t>
      </w:r>
      <w:r>
        <w:rPr>
          <w:color w:val="auto"/>
          <w:sz w:val="28"/>
          <w:szCs w:val="28"/>
          <w:highlight w:val="white"/>
        </w:rPr>
        <w:t xml:space="preserve">4 949 679,0</w:t>
      </w:r>
      <w:r>
        <w:rPr>
          <w:color w:val="auto"/>
          <w:sz w:val="28"/>
          <w:szCs w:val="28"/>
          <w:highlight w:val="white"/>
        </w:rPr>
        <w:t xml:space="preserve"> тыс. руб.                      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46,5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годовых</w:t>
      </w:r>
      <w:r>
        <w:rPr>
          <w:color w:val="auto"/>
          <w:sz w:val="28"/>
          <w:szCs w:val="28"/>
          <w:highlight w:val="white"/>
        </w:rPr>
        <w:t xml:space="preserve"> ассигнований.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</w:t>
      </w:r>
      <w:r>
        <w:rPr>
          <w:color w:val="000000" w:themeColor="text1"/>
          <w:sz w:val="28"/>
          <w:szCs w:val="28"/>
          <w:highlight w:val="white"/>
        </w:rPr>
        <w:t xml:space="preserve"> январь-</w:t>
      </w:r>
      <w:r>
        <w:rPr>
          <w:color w:val="000000" w:themeColor="text1"/>
          <w:sz w:val="28"/>
          <w:szCs w:val="28"/>
          <w:highlight w:val="white"/>
        </w:rPr>
        <w:t xml:space="preserve">сентябрь 2024 года составля</w:t>
      </w:r>
      <w:r>
        <w:rPr>
          <w:color w:val="000000" w:themeColor="text1"/>
          <w:sz w:val="28"/>
          <w:szCs w:val="28"/>
          <w:highlight w:val="white"/>
        </w:rPr>
        <w:t xml:space="preserve">ло </w:t>
      </w:r>
      <w:r>
        <w:rPr>
          <w:color w:val="000000" w:themeColor="text1"/>
          <w:sz w:val="28"/>
          <w:szCs w:val="28"/>
          <w:highlight w:val="white"/>
        </w:rPr>
        <w:t xml:space="preserve">5 951 351,6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bCs/>
          <w:color w:val="000000" w:themeColor="text1"/>
          <w:sz w:val="28"/>
          <w:szCs w:val="28"/>
        </w:rPr>
        <w:t xml:space="preserve">97,6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2024 года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color w:val="000000" w:themeColor="text1"/>
          <w:sz w:val="28"/>
          <w:szCs w:val="28"/>
        </w:rPr>
        <w:t xml:space="preserve">57,9</w:t>
      </w:r>
      <w:r>
        <w:rPr>
          <w:b/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от годовых ассигнований.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auto"/>
          <w:sz w:val="20"/>
          <w:szCs w:val="20"/>
          <w:highlight w:val="white"/>
        </w:rPr>
      </w:pP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</w:p>
    <w:p>
      <w:pPr>
        <w:ind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Расходная часть бюджета за январь-</w:t>
      </w:r>
      <w:r>
        <w:rPr>
          <w:color w:val="auto"/>
          <w:sz w:val="28"/>
          <w:szCs w:val="28"/>
          <w:highlight w:val="white"/>
        </w:rPr>
        <w:t xml:space="preserve">сентябрь 2025 года по источникам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финансирования в разрезе главных распорядителей бюджетных средств исполнена следующим образом.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2.1. Исполнение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расходов местного бюджета: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b/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</w:p>
    <w:p>
      <w:pPr>
        <w:ind w:firstLine="709"/>
        <w:spacing w:line="240" w:lineRule="auto"/>
        <w:tabs>
          <w:tab w:val="num" w:pos="72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выше 95,0 % </w:t>
      </w:r>
      <w:r>
        <w:rPr>
          <w:color w:val="000000" w:themeColor="text1"/>
          <w:sz w:val="28"/>
          <w:szCs w:val="28"/>
          <w:highlight w:val="white"/>
        </w:rPr>
        <w:t xml:space="preserve">обеспечено следующими главными распорядителями бюджетных средств: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34"/>
        </w:num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управлением записи актов гражданского состояния – на уровне </w:t>
      </w:r>
      <w:r>
        <w:rPr>
          <w:color w:val="000000" w:themeColor="text1"/>
          <w:sz w:val="28"/>
          <w:szCs w:val="28"/>
        </w:rPr>
        <w:t xml:space="preserve">100,0 %;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49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управлением капитального строительства </w:t>
      </w:r>
      <w:r>
        <w:rPr>
          <w:color w:val="000000" w:themeColor="text1"/>
          <w:sz w:val="28"/>
          <w:szCs w:val="28"/>
          <w:highlight w:val="white"/>
        </w:rPr>
        <w:t xml:space="preserve">–  на уровне </w:t>
      </w:r>
      <w:r>
        <w:rPr>
          <w:color w:val="000000" w:themeColor="text1"/>
          <w:sz w:val="28"/>
          <w:szCs w:val="28"/>
          <w:highlight w:val="white"/>
        </w:rPr>
        <w:t xml:space="preserve">100,0 %;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37"/>
        </w:numPr>
        <w:jc w:val="left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департаментом социальной политики – на уровне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100,0 %;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39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администрацией Орджоникидзевского района – на уровне </w:t>
      </w:r>
      <w:r>
        <w:rPr>
          <w:color w:val="000000" w:themeColor="text1"/>
          <w:sz w:val="28"/>
          <w:szCs w:val="28"/>
          <w:highlight w:val="white"/>
        </w:rPr>
        <w:t xml:space="preserve">100,0 %;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38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администрацией Индустриального района – на уровне</w:t>
      </w:r>
      <w:r>
        <w:rPr>
          <w:color w:val="000000" w:themeColor="text1"/>
          <w:sz w:val="28"/>
          <w:szCs w:val="28"/>
          <w:highlight w:val="white"/>
        </w:rPr>
        <w:t xml:space="preserve"> 99,95 %;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56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комитетом по физической культуре и спорту – на уровне</w:t>
      </w:r>
      <w:r>
        <w:rPr>
          <w:color w:val="000000" w:themeColor="text1"/>
          <w:sz w:val="28"/>
          <w:szCs w:val="28"/>
          <w:highlight w:val="white"/>
        </w:rPr>
        <w:t xml:space="preserve"> 99,7 %;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42"/>
        </w:numPr>
        <w:spacing w:line="240" w:lineRule="atLeast"/>
        <w:tabs>
          <w:tab w:val="num" w:pos="72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управлением </w:t>
      </w:r>
      <w:r>
        <w:rPr>
          <w:color w:val="000000" w:themeColor="text1"/>
          <w:sz w:val="28"/>
          <w:szCs w:val="28"/>
          <w:highlight w:val="white"/>
        </w:rPr>
        <w:t xml:space="preserve">жилищных отношений – на уровне</w:t>
      </w:r>
      <w:r>
        <w:rPr>
          <w:color w:val="000000" w:themeColor="text1"/>
          <w:sz w:val="28"/>
          <w:szCs w:val="28"/>
          <w:highlight w:val="white"/>
        </w:rPr>
        <w:t xml:space="preserve"> 99,2 %;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40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департаментом образования – на уровне </w:t>
      </w:r>
      <w:r>
        <w:rPr>
          <w:color w:val="000000" w:themeColor="text1"/>
          <w:sz w:val="28"/>
          <w:szCs w:val="28"/>
          <w:highlight w:val="white"/>
        </w:rPr>
        <w:t xml:space="preserve">99,1 %;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38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департамент</w:t>
      </w:r>
      <w:r>
        <w:rPr>
          <w:color w:val="000000" w:themeColor="text1"/>
          <w:sz w:val="28"/>
          <w:szCs w:val="28"/>
          <w:highlight w:val="white"/>
        </w:rPr>
        <w:t xml:space="preserve">ом</w:t>
      </w:r>
      <w:r>
        <w:rPr>
          <w:color w:val="000000" w:themeColor="text1"/>
          <w:sz w:val="28"/>
          <w:szCs w:val="28"/>
          <w:highlight w:val="white"/>
        </w:rPr>
        <w:t xml:space="preserve"> дорог и благоустройства – на уровне</w:t>
      </w:r>
      <w:r>
        <w:rPr>
          <w:color w:val="000000" w:themeColor="text1"/>
          <w:sz w:val="28"/>
          <w:szCs w:val="28"/>
          <w:highlight w:val="white"/>
        </w:rPr>
        <w:t xml:space="preserve"> 99,0 %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36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департаментом финансов – на уровне</w:t>
      </w:r>
      <w:r>
        <w:rPr>
          <w:color w:val="000000" w:themeColor="text1"/>
          <w:sz w:val="28"/>
          <w:szCs w:val="28"/>
          <w:highlight w:val="white"/>
        </w:rPr>
        <w:t xml:space="preserve"> 98,9 %;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администраци</w:t>
      </w:r>
      <w:r>
        <w:rPr>
          <w:color w:val="000000" w:themeColor="text1"/>
          <w:sz w:val="28"/>
          <w:highlight w:val="white"/>
        </w:rPr>
        <w:t xml:space="preserve">ей</w:t>
      </w:r>
      <w:r>
        <w:rPr>
          <w:color w:val="000000" w:themeColor="text1"/>
          <w:sz w:val="28"/>
          <w:highlight w:val="white"/>
        </w:rPr>
        <w:t xml:space="preserve"> Свердловского района – на уровне</w:t>
      </w:r>
      <w:r>
        <w:rPr>
          <w:color w:val="000000" w:themeColor="text1"/>
          <w:sz w:val="28"/>
          <w:highlight w:val="white"/>
        </w:rPr>
        <w:t xml:space="preserve"> 98,5 %;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54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</w:t>
      </w:r>
      <w:r>
        <w:rPr>
          <w:color w:val="000000" w:themeColor="text1"/>
          <w:sz w:val="28"/>
          <w:szCs w:val="28"/>
          <w:highlight w:val="white"/>
        </w:rPr>
        <w:t xml:space="preserve">ей</w:t>
      </w:r>
      <w:r>
        <w:rPr>
          <w:color w:val="000000" w:themeColor="text1"/>
          <w:sz w:val="28"/>
          <w:szCs w:val="28"/>
          <w:highlight w:val="white"/>
        </w:rPr>
        <w:t xml:space="preserve"> Дзержинского района – на уровне </w:t>
      </w:r>
      <w:r>
        <w:rPr>
          <w:color w:val="000000" w:themeColor="text1"/>
          <w:sz w:val="28"/>
          <w:szCs w:val="28"/>
          <w:highlight w:val="white"/>
        </w:rPr>
        <w:t xml:space="preserve">98,3 %;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35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color w:val="000000" w:themeColor="text1"/>
          <w:sz w:val="28"/>
          <w:szCs w:val="28"/>
          <w:highlight w:val="white"/>
        </w:rPr>
        <w:t xml:space="preserve">98,3 %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55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администраци</w:t>
      </w:r>
      <w:r>
        <w:rPr>
          <w:color w:val="000000" w:themeColor="text1"/>
          <w:sz w:val="28"/>
          <w:szCs w:val="28"/>
          <w:highlight w:val="white"/>
        </w:rPr>
        <w:t xml:space="preserve">ей</w:t>
      </w:r>
      <w:r>
        <w:rPr>
          <w:color w:val="000000" w:themeColor="text1"/>
          <w:sz w:val="28"/>
          <w:szCs w:val="28"/>
          <w:highlight w:val="white"/>
        </w:rPr>
        <w:t xml:space="preserve"> города – на уровне </w:t>
      </w:r>
      <w:r>
        <w:rPr>
          <w:color w:val="000000" w:themeColor="text1"/>
          <w:sz w:val="28"/>
          <w:szCs w:val="28"/>
          <w:highlight w:val="white"/>
        </w:rPr>
        <w:t xml:space="preserve">98,3 %;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</w:rPr>
        <w:t xml:space="preserve">департаментом градостроительства и архитектуры </w:t>
      </w:r>
      <w:r>
        <w:rPr>
          <w:color w:val="000000" w:themeColor="text1"/>
          <w:sz w:val="28"/>
          <w:szCs w:val="28"/>
          <w:highlight w:val="white"/>
        </w:rPr>
        <w:t xml:space="preserve">– на уровне </w:t>
      </w:r>
      <w:r>
        <w:rPr>
          <w:color w:val="000000" w:themeColor="text1"/>
          <w:sz w:val="28"/>
          <w:szCs w:val="28"/>
          <w:highlight w:val="white"/>
        </w:rPr>
        <w:t xml:space="preserve">98,2 %;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администрацией п. Новые </w:t>
      </w:r>
      <w:r>
        <w:rPr>
          <w:color w:val="000000" w:themeColor="text1"/>
          <w:sz w:val="28"/>
          <w:szCs w:val="28"/>
          <w:highlight w:val="white"/>
        </w:rPr>
        <w:t xml:space="preserve">Ляды</w:t>
      </w:r>
      <w:r>
        <w:rPr>
          <w:color w:val="000000" w:themeColor="text1"/>
          <w:sz w:val="28"/>
          <w:szCs w:val="28"/>
          <w:highlight w:val="white"/>
        </w:rPr>
        <w:t xml:space="preserve"> – на уровне</w:t>
      </w:r>
      <w:r>
        <w:rPr>
          <w:color w:val="000000" w:themeColor="text1"/>
          <w:sz w:val="28"/>
          <w:szCs w:val="28"/>
          <w:highlight w:val="white"/>
        </w:rPr>
        <w:t xml:space="preserve"> 97,9 %;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46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</w:t>
      </w:r>
      <w:r>
        <w:rPr>
          <w:color w:val="000000" w:themeColor="text1"/>
          <w:sz w:val="28"/>
          <w:szCs w:val="28"/>
          <w:highlight w:val="white"/>
        </w:rPr>
        <w:t xml:space="preserve">ей Кировского района – на уровне </w:t>
      </w:r>
      <w:r>
        <w:rPr>
          <w:color w:val="000000" w:themeColor="text1"/>
          <w:sz w:val="28"/>
          <w:szCs w:val="28"/>
          <w:highlight w:val="white"/>
        </w:rPr>
        <w:t xml:space="preserve">97,4 %;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51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департаментом общественной безопасности – на уровне</w:t>
      </w:r>
      <w:r>
        <w:rPr>
          <w:color w:val="000000" w:themeColor="text1"/>
          <w:sz w:val="28"/>
          <w:szCs w:val="28"/>
          <w:highlight w:val="white"/>
        </w:rPr>
        <w:t xml:space="preserve"> 96,6 %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51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департаментом экономики и промышленной политики – на уровне</w:t>
      </w:r>
      <w:r>
        <w:rPr>
          <w:color w:val="000000" w:themeColor="text1"/>
          <w:sz w:val="28"/>
          <w:szCs w:val="28"/>
          <w:highlight w:val="white"/>
        </w:rPr>
        <w:t xml:space="preserve"> 96,3 %;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43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</w:rPr>
        <w:t xml:space="preserve">контрольно-счетной палат</w:t>
      </w:r>
      <w:r>
        <w:rPr>
          <w:color w:val="000000" w:themeColor="text1"/>
          <w:sz w:val="28"/>
          <w:szCs w:val="28"/>
        </w:rPr>
        <w:t xml:space="preserve">ой </w:t>
      </w:r>
      <w:r>
        <w:rPr>
          <w:color w:val="000000" w:themeColor="text1"/>
          <w:sz w:val="28"/>
          <w:szCs w:val="28"/>
        </w:rPr>
        <w:t xml:space="preserve">города </w:t>
      </w:r>
      <w:r>
        <w:rPr>
          <w:color w:val="000000" w:themeColor="text1"/>
          <w:sz w:val="28"/>
          <w:szCs w:val="28"/>
          <w:highlight w:val="white"/>
        </w:rPr>
        <w:t xml:space="preserve">– на уровне</w:t>
      </w:r>
      <w:r>
        <w:rPr>
          <w:color w:val="000000" w:themeColor="text1"/>
          <w:sz w:val="28"/>
          <w:szCs w:val="28"/>
          <w:highlight w:val="white"/>
        </w:rPr>
        <w:t xml:space="preserve"> 96,3 %;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контрольн</w:t>
      </w:r>
      <w:r>
        <w:rPr>
          <w:color w:val="000000" w:themeColor="text1"/>
          <w:sz w:val="28"/>
          <w:szCs w:val="28"/>
        </w:rPr>
        <w:t xml:space="preserve">ым</w:t>
      </w:r>
      <w:r>
        <w:rPr>
          <w:color w:val="000000" w:themeColor="text1"/>
          <w:sz w:val="28"/>
          <w:szCs w:val="28"/>
        </w:rPr>
        <w:t xml:space="preserve"> департамент</w:t>
      </w:r>
      <w:r>
        <w:rPr>
          <w:color w:val="000000" w:themeColor="text1"/>
          <w:sz w:val="28"/>
          <w:szCs w:val="28"/>
        </w:rPr>
        <w:t xml:space="preserve">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на уровне </w:t>
      </w:r>
      <w:r>
        <w:rPr>
          <w:color w:val="000000" w:themeColor="text1"/>
          <w:sz w:val="28"/>
          <w:szCs w:val="28"/>
          <w:highlight w:val="white"/>
        </w:rPr>
        <w:t xml:space="preserve">96,2 %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47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департаментом транспорта </w:t>
      </w:r>
      <w:r>
        <w:rPr>
          <w:color w:val="000000" w:themeColor="text1"/>
          <w:sz w:val="28"/>
          <w:szCs w:val="28"/>
          <w:highlight w:val="white"/>
        </w:rPr>
        <w:t xml:space="preserve">– на уровне </w:t>
      </w:r>
      <w:r>
        <w:rPr>
          <w:color w:val="000000" w:themeColor="text1"/>
          <w:sz w:val="28"/>
          <w:szCs w:val="28"/>
          <w:highlight w:val="white"/>
        </w:rPr>
        <w:t xml:space="preserve">95,8 %;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360" w:firstLine="0"/>
        <w:spacing w:line="240" w:lineRule="auto"/>
        <w:rPr>
          <w:b/>
          <w:bCs/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16"/>
          <w:szCs w:val="16"/>
          <w:highlight w:val="none"/>
        </w:rPr>
      </w:r>
      <w:r>
        <w:rPr>
          <w:b/>
          <w:bCs/>
          <w:color w:val="000000" w:themeColor="text1"/>
          <w:sz w:val="16"/>
          <w:szCs w:val="16"/>
          <w:highlight w:val="white"/>
        </w:rPr>
      </w:r>
      <w:r>
        <w:rPr>
          <w:b/>
          <w:bCs/>
          <w:color w:val="000000" w:themeColor="text1"/>
          <w:sz w:val="16"/>
          <w:szCs w:val="16"/>
          <w:highlight w:val="white"/>
        </w:rPr>
      </w:r>
    </w:p>
    <w:p>
      <w:pPr>
        <w:ind w:left="0" w:firstLine="0"/>
        <w:spacing w:line="240" w:lineRule="auto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highlight w:val="none"/>
        </w:rPr>
        <w:t xml:space="preserve">       </w:t>
      </w:r>
      <w:r>
        <w:rPr>
          <w:b/>
          <w:color w:val="000000" w:themeColor="text1"/>
          <w:sz w:val="28"/>
          <w:highlight w:val="white"/>
        </w:rPr>
        <w:t xml:space="preserve">ниже уровня 95,0 %</w:t>
      </w:r>
      <w:r>
        <w:rPr>
          <w:color w:val="000000" w:themeColor="text1"/>
          <w:sz w:val="28"/>
          <w:highlight w:val="white"/>
        </w:rPr>
        <w:t xml:space="preserve"> сложилось исполнение </w:t>
      </w:r>
      <w:r>
        <w:rPr>
          <w:color w:val="000000" w:themeColor="text1"/>
          <w:sz w:val="28"/>
          <w:szCs w:val="28"/>
          <w:highlight w:val="white"/>
        </w:rPr>
        <w:t xml:space="preserve">у следующих главных распорядителей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бюджетных средств: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14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администраци</w:t>
      </w:r>
      <w:r>
        <w:rPr>
          <w:color w:val="000000" w:themeColor="text1"/>
          <w:sz w:val="28"/>
          <w:szCs w:val="28"/>
          <w:highlight w:val="white"/>
        </w:rPr>
        <w:t xml:space="preserve">и Мотовилихинского района – на уровне</w:t>
      </w:r>
      <w:r>
        <w:rPr>
          <w:color w:val="000000" w:themeColor="text1"/>
          <w:sz w:val="28"/>
          <w:szCs w:val="28"/>
          <w:highlight w:val="white"/>
        </w:rPr>
        <w:t xml:space="preserve"> 93,6 %;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14"/>
        </w:num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Пермской городской Думы – на уровне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92,9 %;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департамента земельных отношений – на уровне</w:t>
      </w:r>
      <w:r>
        <w:rPr>
          <w:color w:val="000000" w:themeColor="text1"/>
          <w:sz w:val="28"/>
          <w:szCs w:val="28"/>
          <w:highlight w:val="white"/>
        </w:rPr>
        <w:t xml:space="preserve"> 90,6 %;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  <w:highlight w:val="white"/>
        </w:rPr>
        <w:t xml:space="preserve">епартамента имущественных отношений – на уровне </w:t>
      </w:r>
      <w:r>
        <w:rPr>
          <w:color w:val="000000" w:themeColor="text1"/>
          <w:sz w:val="28"/>
          <w:szCs w:val="28"/>
          <w:highlight w:val="white"/>
        </w:rPr>
        <w:t xml:space="preserve">87,7 %;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48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администрации Ленинского района – на уровне </w:t>
      </w:r>
      <w:r>
        <w:rPr>
          <w:color w:val="000000" w:themeColor="text1"/>
          <w:sz w:val="28"/>
          <w:szCs w:val="28"/>
          <w:highlight w:val="white"/>
        </w:rPr>
        <w:t xml:space="preserve">87,3 %;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управления по экологии и природопользованию – на уровне </w:t>
      </w:r>
      <w:r>
        <w:rPr>
          <w:color w:val="000000" w:themeColor="text1"/>
          <w:sz w:val="28"/>
          <w:szCs w:val="28"/>
          <w:highlight w:val="white"/>
        </w:rPr>
        <w:t xml:space="preserve">86,7 %;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14"/>
        </w:num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департамента жилищно-коммунального хозяйства – на уровне</w:t>
      </w:r>
      <w:r>
        <w:rPr>
          <w:color w:val="000000" w:themeColor="text1"/>
          <w:sz w:val="28"/>
          <w:szCs w:val="28"/>
          <w:highlight w:val="white"/>
        </w:rPr>
        <w:t xml:space="preserve"> 62,4 %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ff0000"/>
          <w:highlight w:val="white"/>
        </w:rPr>
      </w:pPr>
      <w:r>
        <w:rPr>
          <w:color w:val="ff0000"/>
          <w:highlight w:val="white"/>
        </w:rPr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2.2. Исполнение расходов по переданным государственным полномочиям: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</w:r>
      <w:r>
        <w:rPr>
          <w:b/>
          <w:bCs/>
          <w:color w:val="ff0000"/>
          <w:sz w:val="16"/>
          <w:szCs w:val="16"/>
        </w:rPr>
      </w:r>
      <w:r>
        <w:rPr>
          <w:b/>
          <w:bCs/>
          <w:color w:val="ff0000"/>
          <w:sz w:val="16"/>
          <w:szCs w:val="16"/>
        </w:rPr>
      </w:r>
    </w:p>
    <w:p>
      <w:pPr>
        <w:spacing w:line="240" w:lineRule="auto"/>
        <w:tabs>
          <w:tab w:val="num" w:pos="900" w:leader="none"/>
        </w:tabs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>
        <w:rPr>
          <w:b/>
          <w:color w:val="auto"/>
          <w:sz w:val="28"/>
          <w:szCs w:val="28"/>
        </w:rPr>
        <w:t xml:space="preserve">       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</w:t>
      </w:r>
      <w:r>
        <w:rPr>
          <w:color w:val="auto"/>
          <w:sz w:val="28"/>
          <w:szCs w:val="28"/>
        </w:rPr>
        <w:t xml:space="preserve">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культуры и молодежной политики – на уровне 100,0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департаментом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100,0 %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департаментом образования – на уровне</w:t>
      </w:r>
      <w:r>
        <w:rPr>
          <w:color w:val="auto"/>
          <w:sz w:val="28"/>
          <w:szCs w:val="28"/>
        </w:rPr>
        <w:t xml:space="preserve"> 99,9 %;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1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департаментом социальной политики – на уровне </w:t>
      </w:r>
      <w:r>
        <w:rPr>
          <w:color w:val="auto"/>
          <w:sz w:val="28"/>
          <w:szCs w:val="28"/>
        </w:rPr>
        <w:t xml:space="preserve">99,9 %;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управлением жилищных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98,6 %;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5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</w:t>
      </w:r>
      <w:r>
        <w:rPr>
          <w:color w:val="auto"/>
          <w:sz w:val="28"/>
          <w:szCs w:val="28"/>
          <w:highlight w:val="white"/>
        </w:rPr>
        <w:t xml:space="preserve"> 97,4 %;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5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кон</w:t>
      </w:r>
      <w:r>
        <w:rPr>
          <w:color w:val="auto"/>
          <w:sz w:val="28"/>
          <w:szCs w:val="28"/>
        </w:rPr>
        <w:t xml:space="preserve">трольным департаментом – на уровне </w:t>
      </w:r>
      <w:r>
        <w:rPr>
          <w:color w:val="auto"/>
          <w:sz w:val="28"/>
          <w:szCs w:val="28"/>
        </w:rPr>
        <w:t xml:space="preserve">97,3 %;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6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</w:t>
      </w:r>
      <w:r>
        <w:rPr>
          <w:color w:val="auto"/>
          <w:sz w:val="28"/>
          <w:szCs w:val="28"/>
        </w:rPr>
        <w:t xml:space="preserve"> 97,2 %;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администрацией Индустриального района – на уровне 97,0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администрацией Свердловского района – на уровне</w:t>
      </w:r>
      <w:r>
        <w:rPr>
          <w:color w:val="auto"/>
          <w:sz w:val="28"/>
          <w:szCs w:val="28"/>
        </w:rPr>
        <w:t xml:space="preserve"> 96,6 %;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ниже 9</w:t>
      </w:r>
      <w:r>
        <w:rPr>
          <w:b/>
          <w:color w:val="auto"/>
          <w:sz w:val="28"/>
          <w:szCs w:val="28"/>
        </w:rPr>
        <w:t xml:space="preserve">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бюдже</w:t>
      </w:r>
      <w:r>
        <w:rPr>
          <w:color w:val="auto"/>
          <w:sz w:val="28"/>
          <w:szCs w:val="28"/>
        </w:rPr>
        <w:t xml:space="preserve">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59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администрации Кировского района – на уровне </w:t>
      </w:r>
      <w:r>
        <w:rPr>
          <w:color w:val="auto"/>
          <w:sz w:val="28"/>
          <w:szCs w:val="28"/>
        </w:rPr>
        <w:t xml:space="preserve">93,5 %;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</w:t>
      </w:r>
      <w:r>
        <w:rPr>
          <w:color w:val="auto"/>
          <w:sz w:val="28"/>
          <w:szCs w:val="28"/>
          <w:highlight w:val="white"/>
        </w:rPr>
        <w:t xml:space="preserve"> 93,3 %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7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транспорта – на уровне </w:t>
      </w:r>
      <w:r>
        <w:rPr>
          <w:color w:val="auto"/>
          <w:sz w:val="28"/>
          <w:szCs w:val="28"/>
        </w:rPr>
        <w:t xml:space="preserve">91,5 %;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администрации Орджоникидзевского района – на уровне</w:t>
      </w:r>
      <w:r>
        <w:rPr>
          <w:color w:val="auto"/>
          <w:sz w:val="28"/>
          <w:szCs w:val="28"/>
        </w:rPr>
        <w:t xml:space="preserve"> 90,9 %;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дминистрации Мотовилихинского района – на уровне</w:t>
      </w:r>
      <w:r>
        <w:rPr>
          <w:color w:val="auto"/>
          <w:sz w:val="28"/>
          <w:szCs w:val="28"/>
        </w:rPr>
        <w:t xml:space="preserve"> 87,9 %;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57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управления по экологии и природопользованию – на уровне</w:t>
      </w:r>
      <w:r>
        <w:rPr>
          <w:color w:val="auto"/>
          <w:sz w:val="28"/>
          <w:szCs w:val="28"/>
        </w:rPr>
        <w:t xml:space="preserve"> 87,3 %;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6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дорог и благоустройства – на уровне </w:t>
      </w:r>
      <w:r>
        <w:rPr>
          <w:color w:val="auto"/>
          <w:sz w:val="28"/>
          <w:szCs w:val="28"/>
        </w:rPr>
        <w:t xml:space="preserve">85,1 %;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8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Дзержинского района – на уровне</w:t>
      </w:r>
      <w:r>
        <w:rPr>
          <w:color w:val="auto"/>
          <w:sz w:val="28"/>
          <w:szCs w:val="28"/>
        </w:rPr>
        <w:t xml:space="preserve"> 83,5 %;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администрации Ленинского района – на уровне</w:t>
      </w:r>
      <w:r>
        <w:rPr>
          <w:color w:val="auto"/>
          <w:sz w:val="28"/>
          <w:szCs w:val="28"/>
        </w:rPr>
        <w:t xml:space="preserve"> 67,6 %;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п. Новые </w:t>
      </w:r>
      <w:r>
        <w:rPr>
          <w:color w:val="auto"/>
          <w:sz w:val="28"/>
          <w:szCs w:val="28"/>
        </w:rPr>
        <w:t xml:space="preserve">Ляды</w:t>
      </w:r>
      <w:r>
        <w:rPr>
          <w:color w:val="auto"/>
          <w:sz w:val="28"/>
          <w:szCs w:val="28"/>
        </w:rPr>
        <w:t xml:space="preserve"> – на уровне </w:t>
      </w:r>
      <w:r>
        <w:rPr>
          <w:color w:val="auto"/>
          <w:sz w:val="28"/>
          <w:szCs w:val="28"/>
        </w:rPr>
        <w:t xml:space="preserve">64,3 %.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</w:t>
      </w:r>
      <w:r>
        <w:rPr>
          <w:b/>
          <w:color w:val="auto"/>
          <w:sz w:val="28"/>
          <w:szCs w:val="28"/>
        </w:rPr>
        <w:t xml:space="preserve">3.</w:t>
      </w:r>
      <w:r>
        <w:rPr>
          <w:b/>
          <w:color w:val="auto"/>
          <w:sz w:val="28"/>
          <w:szCs w:val="28"/>
        </w:rPr>
        <w:t xml:space="preserve"> Исполнение расходов по средствам, переданным из краевого бюджета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spacing w:line="240" w:lineRule="auto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на выполнение полномочий городского округа: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spacing w:line="240" w:lineRule="auto"/>
        <w:rPr>
          <w:b/>
          <w:bCs/>
          <w:color w:val="auto"/>
          <w:sz w:val="16"/>
          <w:szCs w:val="16"/>
        </w:rPr>
      </w:pPr>
      <w:r>
        <w:rPr>
          <w:color w:val="auto"/>
          <w:sz w:val="16"/>
          <w:szCs w:val="16"/>
          <w:highlight w:val="none"/>
        </w:rPr>
      </w:r>
      <w:r>
        <w:rPr>
          <w:b/>
          <w:bCs/>
          <w:color w:val="auto"/>
          <w:sz w:val="16"/>
          <w:szCs w:val="16"/>
        </w:rPr>
      </w:r>
      <w:r>
        <w:rPr>
          <w:b/>
          <w:bCs/>
          <w:color w:val="auto"/>
          <w:sz w:val="16"/>
          <w:szCs w:val="16"/>
        </w:rPr>
      </w:r>
    </w:p>
    <w:p>
      <w:pPr>
        <w:ind w:firstLine="709"/>
        <w:spacing w:line="240" w:lineRule="auto"/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</w:rPr>
        <w:t xml:space="preserve">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бюджетных </w:t>
      </w:r>
      <w:r>
        <w:rPr>
          <w:color w:val="auto"/>
          <w:sz w:val="28"/>
          <w:szCs w:val="28"/>
        </w:rPr>
        <w:t xml:space="preserve">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епартаментом культуры и молодежной политики – на уровне 100,0 %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социал</w:t>
      </w:r>
      <w:r>
        <w:rPr>
          <w:color w:val="auto"/>
          <w:sz w:val="28"/>
          <w:szCs w:val="28"/>
        </w:rPr>
        <w:t xml:space="preserve">ьной политики – на уровне </w:t>
      </w:r>
      <w:r>
        <w:rPr>
          <w:color w:val="auto"/>
          <w:sz w:val="28"/>
          <w:szCs w:val="28"/>
        </w:rPr>
        <w:t xml:space="preserve">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70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города – на уровне </w:t>
      </w:r>
      <w:r>
        <w:rPr>
          <w:color w:val="auto"/>
          <w:sz w:val="28"/>
          <w:szCs w:val="28"/>
          <w:highlight w:val="white"/>
        </w:rPr>
        <w:t xml:space="preserve">100,0 %;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 100,0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7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дорог и благоустройства – на уровне</w:t>
      </w:r>
      <w:r>
        <w:rPr>
          <w:color w:val="auto"/>
          <w:sz w:val="28"/>
          <w:szCs w:val="28"/>
          <w:highlight w:val="white"/>
        </w:rPr>
        <w:t xml:space="preserve"> 99,99 %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образования – на уровне</w:t>
      </w:r>
      <w:r>
        <w:rPr>
          <w:color w:val="auto"/>
          <w:sz w:val="28"/>
          <w:szCs w:val="28"/>
        </w:rPr>
        <w:t xml:space="preserve"> 98,9 %;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7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управлением капитального строительства – на уровне </w:t>
      </w:r>
      <w:r>
        <w:rPr>
          <w:color w:val="auto"/>
          <w:sz w:val="28"/>
          <w:szCs w:val="28"/>
        </w:rPr>
        <w:t xml:space="preserve">98,8 %;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жилищных отношений – на уровне </w:t>
      </w:r>
      <w:r>
        <w:rPr>
          <w:color w:val="auto"/>
          <w:sz w:val="28"/>
          <w:szCs w:val="28"/>
        </w:rPr>
        <w:t xml:space="preserve">98,5 %;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360"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left="0"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  <w:t xml:space="preserve">ниже 9</w:t>
      </w:r>
      <w:r>
        <w:rPr>
          <w:b/>
          <w:color w:val="auto"/>
          <w:sz w:val="28"/>
          <w:szCs w:val="28"/>
        </w:rPr>
        <w:t xml:space="preserve">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бюдже</w:t>
      </w:r>
      <w:r>
        <w:rPr>
          <w:color w:val="auto"/>
          <w:sz w:val="28"/>
          <w:szCs w:val="28"/>
        </w:rPr>
        <w:t xml:space="preserve">тных средств: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общ</w:t>
      </w:r>
      <w:r>
        <w:rPr>
          <w:color w:val="auto"/>
          <w:sz w:val="28"/>
          <w:szCs w:val="28"/>
        </w:rPr>
        <w:t xml:space="preserve">ественной безопасности – на уровне </w:t>
      </w:r>
      <w:r>
        <w:rPr>
          <w:color w:val="auto"/>
          <w:sz w:val="28"/>
          <w:szCs w:val="28"/>
        </w:rPr>
        <w:t xml:space="preserve">90,7 %;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73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жилищно-коммунального хозяйства – на уровне </w:t>
      </w:r>
      <w:r>
        <w:rPr>
          <w:color w:val="auto"/>
          <w:sz w:val="28"/>
          <w:szCs w:val="28"/>
        </w:rPr>
        <w:t xml:space="preserve">88,2 %;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транспорта – на уровне </w:t>
      </w:r>
      <w:r>
        <w:rPr>
          <w:color w:val="auto"/>
          <w:sz w:val="28"/>
          <w:szCs w:val="28"/>
        </w:rPr>
        <w:t xml:space="preserve">85,4 %;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управления по экологии и природо</w:t>
      </w:r>
      <w:r>
        <w:rPr>
          <w:color w:val="auto"/>
          <w:sz w:val="28"/>
          <w:szCs w:val="28"/>
        </w:rPr>
        <w:t xml:space="preserve">пользованию – на уровне </w:t>
      </w:r>
      <w:r>
        <w:rPr>
          <w:color w:val="auto"/>
          <w:sz w:val="28"/>
          <w:szCs w:val="28"/>
        </w:rPr>
        <w:t xml:space="preserve">77,1 %.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  <w:p>
    <w:pPr>
      <w:pStyle w:val="895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1046"/>
        <w:sz w:val="23"/>
        <w:szCs w:val="23"/>
      </w:rPr>
      <w:framePr w:wrap="around" w:vAnchor="text" w:hAnchor="margin" w:xAlign="right" w:y="1"/>
    </w:pPr>
    <w:r>
      <w:rPr>
        <w:rStyle w:val="1046"/>
        <w:sz w:val="23"/>
        <w:szCs w:val="23"/>
      </w:rPr>
      <w:fldChar w:fldCharType="begin"/>
    </w:r>
    <w:r>
      <w:rPr>
        <w:rStyle w:val="1046"/>
        <w:sz w:val="23"/>
        <w:szCs w:val="23"/>
      </w:rPr>
      <w:instrText xml:space="preserve">PAGE  </w:instrText>
    </w:r>
    <w:r>
      <w:rPr>
        <w:rStyle w:val="1046"/>
        <w:sz w:val="23"/>
        <w:szCs w:val="23"/>
      </w:rPr>
      <w:fldChar w:fldCharType="end"/>
    </w:r>
    <w:r>
      <w:rPr>
        <w:rStyle w:val="1046"/>
        <w:sz w:val="23"/>
        <w:szCs w:val="23"/>
      </w:rPr>
    </w:r>
    <w:r>
      <w:rPr>
        <w:rStyle w:val="1046"/>
        <w:sz w:val="23"/>
        <w:szCs w:val="23"/>
      </w:rPr>
    </w:r>
  </w:p>
  <w:p>
    <w:pPr>
      <w:pStyle w:val="895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2"/>
  </w:num>
  <w:num w:numId="5">
    <w:abstractNumId w:val="8"/>
  </w:num>
  <w:num w:numId="6">
    <w:abstractNumId w:val="21"/>
  </w:num>
  <w:num w:numId="7">
    <w:abstractNumId w:val="15"/>
  </w:num>
  <w:num w:numId="8">
    <w:abstractNumId w:val="5"/>
  </w:num>
  <w:num w:numId="9">
    <w:abstractNumId w:val="25"/>
  </w:num>
  <w:num w:numId="10">
    <w:abstractNumId w:val="17"/>
  </w:num>
  <w:num w:numId="11">
    <w:abstractNumId w:val="9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1"/>
  </w:num>
  <w:num w:numId="17">
    <w:abstractNumId w:val="26"/>
  </w:num>
  <w:num w:numId="18">
    <w:abstractNumId w:val="10"/>
  </w:num>
  <w:num w:numId="19">
    <w:abstractNumId w:val="7"/>
  </w:num>
  <w:num w:numId="20">
    <w:abstractNumId w:val="27"/>
  </w:num>
  <w:num w:numId="21">
    <w:abstractNumId w:val="3"/>
  </w:num>
  <w:num w:numId="22">
    <w:abstractNumId w:val="23"/>
  </w:num>
  <w:num w:numId="23">
    <w:abstractNumId w:val="0"/>
  </w:num>
  <w:num w:numId="24">
    <w:abstractNumId w:val="2"/>
  </w:num>
  <w:num w:numId="25">
    <w:abstractNumId w:val="24"/>
  </w:num>
  <w:num w:numId="26">
    <w:abstractNumId w:val="6"/>
  </w:num>
  <w:num w:numId="27">
    <w:abstractNumId w:val="22"/>
  </w:num>
  <w:num w:numId="28">
    <w:abstractNumId w:val="14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 w:default="1">
    <w:name w:val="Normal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5">
    <w:name w:val="Heading 1"/>
    <w:basedOn w:val="844"/>
    <w:next w:val="844"/>
    <w:link w:val="8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6">
    <w:name w:val="Heading 2"/>
    <w:basedOn w:val="844"/>
    <w:next w:val="844"/>
    <w:link w:val="8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7">
    <w:name w:val="Heading 3"/>
    <w:basedOn w:val="844"/>
    <w:next w:val="844"/>
    <w:link w:val="8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8">
    <w:name w:val="Heading 4"/>
    <w:basedOn w:val="844"/>
    <w:next w:val="844"/>
    <w:link w:val="8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844"/>
    <w:next w:val="844"/>
    <w:link w:val="8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50">
    <w:name w:val="Heading 6"/>
    <w:basedOn w:val="844"/>
    <w:next w:val="844"/>
    <w:link w:val="8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844"/>
    <w:next w:val="844"/>
    <w:link w:val="8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2">
    <w:name w:val="Heading 8"/>
    <w:basedOn w:val="844"/>
    <w:next w:val="844"/>
    <w:link w:val="8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844"/>
    <w:next w:val="844"/>
    <w:link w:val="8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Heading 1 Char"/>
    <w:basedOn w:val="854"/>
    <w:uiPriority w:val="9"/>
    <w:rPr>
      <w:rFonts w:ascii="Arial" w:hAnsi="Arial" w:eastAsia="Arial" w:cs="Arial"/>
      <w:sz w:val="40"/>
      <w:szCs w:val="40"/>
    </w:rPr>
  </w:style>
  <w:style w:type="character" w:styleId="858" w:customStyle="1">
    <w:name w:val="Heading 2 Char"/>
    <w:basedOn w:val="854"/>
    <w:uiPriority w:val="9"/>
    <w:rPr>
      <w:rFonts w:ascii="Arial" w:hAnsi="Arial" w:eastAsia="Arial" w:cs="Arial"/>
      <w:sz w:val="34"/>
    </w:rPr>
  </w:style>
  <w:style w:type="character" w:styleId="859" w:customStyle="1">
    <w:name w:val="Heading 3 Char"/>
    <w:basedOn w:val="854"/>
    <w:uiPriority w:val="9"/>
    <w:rPr>
      <w:rFonts w:ascii="Arial" w:hAnsi="Arial" w:eastAsia="Arial" w:cs="Arial"/>
      <w:sz w:val="30"/>
      <w:szCs w:val="30"/>
    </w:rPr>
  </w:style>
  <w:style w:type="character" w:styleId="860" w:customStyle="1">
    <w:name w:val="Heading 4 Char"/>
    <w:basedOn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861" w:customStyle="1">
    <w:name w:val="Heading 5 Char"/>
    <w:basedOn w:val="854"/>
    <w:uiPriority w:val="9"/>
    <w:rPr>
      <w:rFonts w:ascii="Arial" w:hAnsi="Arial" w:eastAsia="Arial" w:cs="Arial"/>
      <w:b/>
      <w:bCs/>
      <w:sz w:val="24"/>
      <w:szCs w:val="24"/>
    </w:rPr>
  </w:style>
  <w:style w:type="character" w:styleId="862" w:customStyle="1">
    <w:name w:val="Heading 6 Char"/>
    <w:basedOn w:val="854"/>
    <w:uiPriority w:val="9"/>
    <w:rPr>
      <w:rFonts w:ascii="Arial" w:hAnsi="Arial" w:eastAsia="Arial" w:cs="Arial"/>
      <w:b/>
      <w:bCs/>
      <w:sz w:val="22"/>
      <w:szCs w:val="22"/>
    </w:rPr>
  </w:style>
  <w:style w:type="character" w:styleId="863" w:customStyle="1">
    <w:name w:val="Heading 7 Char"/>
    <w:basedOn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4" w:customStyle="1">
    <w:name w:val="Heading 8 Char"/>
    <w:basedOn w:val="854"/>
    <w:uiPriority w:val="9"/>
    <w:rPr>
      <w:rFonts w:ascii="Arial" w:hAnsi="Arial" w:eastAsia="Arial" w:cs="Arial"/>
      <w:i/>
      <w:iCs/>
      <w:sz w:val="22"/>
      <w:szCs w:val="22"/>
    </w:rPr>
  </w:style>
  <w:style w:type="character" w:styleId="865" w:customStyle="1">
    <w:name w:val="Heading 9 Char"/>
    <w:basedOn w:val="854"/>
    <w:uiPriority w:val="9"/>
    <w:rPr>
      <w:rFonts w:ascii="Arial" w:hAnsi="Arial" w:eastAsia="Arial" w:cs="Arial"/>
      <w:i/>
      <w:iCs/>
      <w:sz w:val="21"/>
      <w:szCs w:val="21"/>
    </w:rPr>
  </w:style>
  <w:style w:type="character" w:styleId="866" w:customStyle="1">
    <w:name w:val="Title Char"/>
    <w:basedOn w:val="854"/>
    <w:uiPriority w:val="10"/>
    <w:rPr>
      <w:sz w:val="48"/>
      <w:szCs w:val="48"/>
    </w:rPr>
  </w:style>
  <w:style w:type="character" w:styleId="867" w:customStyle="1">
    <w:name w:val="Subtitle Char"/>
    <w:basedOn w:val="854"/>
    <w:uiPriority w:val="11"/>
    <w:rPr>
      <w:sz w:val="24"/>
      <w:szCs w:val="24"/>
    </w:rPr>
  </w:style>
  <w:style w:type="character" w:styleId="868" w:customStyle="1">
    <w:name w:val="Quote Char"/>
    <w:uiPriority w:val="29"/>
    <w:rPr>
      <w:i/>
    </w:rPr>
  </w:style>
  <w:style w:type="character" w:styleId="869" w:customStyle="1">
    <w:name w:val="Intense Quote Char"/>
    <w:uiPriority w:val="30"/>
    <w:rPr>
      <w:i/>
    </w:rPr>
  </w:style>
  <w:style w:type="character" w:styleId="870" w:customStyle="1">
    <w:name w:val="Header Char"/>
    <w:basedOn w:val="854"/>
    <w:uiPriority w:val="99"/>
  </w:style>
  <w:style w:type="character" w:styleId="871" w:customStyle="1">
    <w:name w:val="Caption Char"/>
    <w:uiPriority w:val="99"/>
  </w:style>
  <w:style w:type="character" w:styleId="872" w:customStyle="1">
    <w:name w:val="Footnote Text Char"/>
    <w:uiPriority w:val="99"/>
    <w:rPr>
      <w:sz w:val="18"/>
    </w:rPr>
  </w:style>
  <w:style w:type="character" w:styleId="873" w:customStyle="1">
    <w:name w:val="Endnote Text Char"/>
    <w:uiPriority w:val="99"/>
    <w:rPr>
      <w:sz w:val="20"/>
    </w:rPr>
  </w:style>
  <w:style w:type="character" w:styleId="874" w:customStyle="1">
    <w:name w:val="Заголовок 1 Знак"/>
    <w:link w:val="845"/>
    <w:uiPriority w:val="9"/>
    <w:rPr>
      <w:rFonts w:ascii="Arial" w:hAnsi="Arial" w:eastAsia="Arial" w:cs="Arial"/>
      <w:sz w:val="40"/>
      <w:szCs w:val="40"/>
    </w:rPr>
  </w:style>
  <w:style w:type="character" w:styleId="875" w:customStyle="1">
    <w:name w:val="Заголовок 2 Знак"/>
    <w:link w:val="846"/>
    <w:uiPriority w:val="9"/>
    <w:rPr>
      <w:rFonts w:ascii="Arial" w:hAnsi="Arial" w:eastAsia="Arial" w:cs="Arial"/>
      <w:sz w:val="34"/>
    </w:rPr>
  </w:style>
  <w:style w:type="character" w:styleId="876" w:customStyle="1">
    <w:name w:val="Заголовок 3 Знак"/>
    <w:link w:val="847"/>
    <w:uiPriority w:val="9"/>
    <w:rPr>
      <w:rFonts w:ascii="Arial" w:hAnsi="Arial" w:eastAsia="Arial" w:cs="Arial"/>
      <w:sz w:val="30"/>
      <w:szCs w:val="30"/>
    </w:rPr>
  </w:style>
  <w:style w:type="character" w:styleId="877" w:customStyle="1">
    <w:name w:val="Заголовок 4 Знак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878" w:customStyle="1">
    <w:name w:val="Заголовок 5 Знак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879" w:customStyle="1">
    <w:name w:val="Заголовок 6 Знак"/>
    <w:link w:val="850"/>
    <w:uiPriority w:val="9"/>
    <w:rPr>
      <w:rFonts w:ascii="Arial" w:hAnsi="Arial" w:eastAsia="Arial" w:cs="Arial"/>
      <w:b/>
      <w:bCs/>
      <w:sz w:val="22"/>
      <w:szCs w:val="22"/>
    </w:rPr>
  </w:style>
  <w:style w:type="character" w:styleId="880" w:customStyle="1">
    <w:name w:val="Заголовок 7 Знак"/>
    <w:link w:val="8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1" w:customStyle="1">
    <w:name w:val="Заголовок 8 Знак"/>
    <w:link w:val="852"/>
    <w:uiPriority w:val="9"/>
    <w:rPr>
      <w:rFonts w:ascii="Arial" w:hAnsi="Arial" w:eastAsia="Arial" w:cs="Arial"/>
      <w:i/>
      <w:iCs/>
      <w:sz w:val="22"/>
      <w:szCs w:val="22"/>
    </w:rPr>
  </w:style>
  <w:style w:type="character" w:styleId="882" w:customStyle="1">
    <w:name w:val="Заголовок 9 Знак"/>
    <w:link w:val="853"/>
    <w:uiPriority w:val="9"/>
    <w:rPr>
      <w:rFonts w:ascii="Arial" w:hAnsi="Arial" w:eastAsia="Arial" w:cs="Arial"/>
      <w:i/>
      <w:iCs/>
      <w:sz w:val="21"/>
      <w:szCs w:val="21"/>
    </w:rPr>
  </w:style>
  <w:style w:type="paragraph" w:styleId="883">
    <w:name w:val="List Paragraph"/>
    <w:basedOn w:val="844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884">
    <w:name w:val="No Spacing"/>
    <w:uiPriority w:val="1"/>
    <w:qFormat/>
  </w:style>
  <w:style w:type="paragraph" w:styleId="885">
    <w:name w:val="Title"/>
    <w:basedOn w:val="844"/>
    <w:next w:val="844"/>
    <w:link w:val="8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6" w:customStyle="1">
    <w:name w:val="Заголовок Знак"/>
    <w:link w:val="885"/>
    <w:uiPriority w:val="10"/>
    <w:rPr>
      <w:sz w:val="48"/>
      <w:szCs w:val="48"/>
    </w:rPr>
  </w:style>
  <w:style w:type="paragraph" w:styleId="887">
    <w:name w:val="Subtitle"/>
    <w:basedOn w:val="844"/>
    <w:next w:val="844"/>
    <w:link w:val="888"/>
    <w:uiPriority w:val="11"/>
    <w:qFormat/>
    <w:pPr>
      <w:spacing w:before="200" w:after="200"/>
    </w:pPr>
  </w:style>
  <w:style w:type="character" w:styleId="888" w:customStyle="1">
    <w:name w:val="Подзаголовок Знак"/>
    <w:link w:val="887"/>
    <w:uiPriority w:val="11"/>
    <w:rPr>
      <w:sz w:val="24"/>
      <w:szCs w:val="24"/>
    </w:rPr>
  </w:style>
  <w:style w:type="paragraph" w:styleId="889">
    <w:name w:val="Quote"/>
    <w:basedOn w:val="844"/>
    <w:next w:val="844"/>
    <w:link w:val="890"/>
    <w:uiPriority w:val="29"/>
    <w:qFormat/>
    <w:pPr>
      <w:ind w:left="720" w:right="720"/>
    </w:pPr>
    <w:rPr>
      <w:i/>
    </w:rPr>
  </w:style>
  <w:style w:type="character" w:styleId="890" w:customStyle="1">
    <w:name w:val="Цитата 2 Знак"/>
    <w:link w:val="889"/>
    <w:uiPriority w:val="29"/>
    <w:rPr>
      <w:i/>
    </w:rPr>
  </w:style>
  <w:style w:type="paragraph" w:styleId="891">
    <w:name w:val="Intense Quote"/>
    <w:basedOn w:val="844"/>
    <w:next w:val="844"/>
    <w:link w:val="8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2" w:customStyle="1">
    <w:name w:val="Выделенная цитата Знак"/>
    <w:link w:val="891"/>
    <w:uiPriority w:val="30"/>
    <w:rPr>
      <w:i/>
    </w:rPr>
  </w:style>
  <w:style w:type="paragraph" w:styleId="893">
    <w:name w:val="Header"/>
    <w:basedOn w:val="844"/>
    <w:link w:val="89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894" w:customStyle="1">
    <w:name w:val="Верхний колонтитул Знак"/>
    <w:link w:val="893"/>
    <w:uiPriority w:val="99"/>
  </w:style>
  <w:style w:type="paragraph" w:styleId="895">
    <w:name w:val="Footer"/>
    <w:basedOn w:val="844"/>
    <w:link w:val="1045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6" w:customStyle="1">
    <w:name w:val="Footer Char"/>
    <w:uiPriority w:val="99"/>
  </w:style>
  <w:style w:type="paragraph" w:styleId="897">
    <w:name w:val="Caption"/>
    <w:basedOn w:val="844"/>
    <w:next w:val="844"/>
    <w:link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8" w:customStyle="1">
    <w:name w:val="Название объекта Знак"/>
    <w:link w:val="897"/>
    <w:uiPriority w:val="99"/>
  </w:style>
  <w:style w:type="table" w:styleId="89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2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3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3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3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3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3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3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3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3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3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4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4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4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4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4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6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6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6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6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6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6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9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9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9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9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9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9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0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1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1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1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1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1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1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2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2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2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2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2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25">
    <w:name w:val="Hyperlink"/>
    <w:uiPriority w:val="99"/>
    <w:unhideWhenUsed/>
    <w:rPr>
      <w:color w:val="0000ff" w:themeColor="hyperlink"/>
      <w:u w:val="single"/>
    </w:rPr>
  </w:style>
  <w:style w:type="paragraph" w:styleId="1026">
    <w:name w:val="footnote text"/>
    <w:basedOn w:val="844"/>
    <w:link w:val="1027"/>
    <w:uiPriority w:val="99"/>
    <w:semiHidden/>
    <w:unhideWhenUsed/>
    <w:pPr>
      <w:spacing w:after="40" w:line="240" w:lineRule="auto"/>
    </w:pPr>
    <w:rPr>
      <w:sz w:val="18"/>
    </w:rPr>
  </w:style>
  <w:style w:type="character" w:styleId="1027" w:customStyle="1">
    <w:name w:val="Текст сноски Знак"/>
    <w:link w:val="1026"/>
    <w:uiPriority w:val="99"/>
    <w:rPr>
      <w:sz w:val="18"/>
    </w:rPr>
  </w:style>
  <w:style w:type="character" w:styleId="1028">
    <w:name w:val="footnote reference"/>
    <w:uiPriority w:val="99"/>
    <w:unhideWhenUsed/>
    <w:rPr>
      <w:vertAlign w:val="superscript"/>
    </w:rPr>
  </w:style>
  <w:style w:type="paragraph" w:styleId="1029">
    <w:name w:val="endnote text"/>
    <w:basedOn w:val="844"/>
    <w:link w:val="1030"/>
    <w:uiPriority w:val="99"/>
    <w:semiHidden/>
    <w:unhideWhenUsed/>
    <w:pPr>
      <w:spacing w:line="240" w:lineRule="auto"/>
    </w:pPr>
    <w:rPr>
      <w:sz w:val="20"/>
    </w:rPr>
  </w:style>
  <w:style w:type="character" w:styleId="1030" w:customStyle="1">
    <w:name w:val="Текст концевой сноски Знак"/>
    <w:link w:val="1029"/>
    <w:uiPriority w:val="99"/>
    <w:rPr>
      <w:sz w:val="20"/>
    </w:rPr>
  </w:style>
  <w:style w:type="character" w:styleId="1031">
    <w:name w:val="endnote reference"/>
    <w:uiPriority w:val="99"/>
    <w:semiHidden/>
    <w:unhideWhenUsed/>
    <w:rPr>
      <w:vertAlign w:val="superscript"/>
    </w:rPr>
  </w:style>
  <w:style w:type="paragraph" w:styleId="1032">
    <w:name w:val="toc 1"/>
    <w:basedOn w:val="844"/>
    <w:next w:val="844"/>
    <w:uiPriority w:val="39"/>
    <w:unhideWhenUsed/>
    <w:pPr>
      <w:spacing w:after="57"/>
    </w:pPr>
  </w:style>
  <w:style w:type="paragraph" w:styleId="1033">
    <w:name w:val="toc 2"/>
    <w:basedOn w:val="844"/>
    <w:next w:val="844"/>
    <w:uiPriority w:val="39"/>
    <w:unhideWhenUsed/>
    <w:pPr>
      <w:ind w:left="283"/>
      <w:spacing w:after="57"/>
    </w:pPr>
  </w:style>
  <w:style w:type="paragraph" w:styleId="1034">
    <w:name w:val="toc 3"/>
    <w:basedOn w:val="844"/>
    <w:next w:val="844"/>
    <w:uiPriority w:val="39"/>
    <w:unhideWhenUsed/>
    <w:pPr>
      <w:ind w:left="567"/>
      <w:spacing w:after="57"/>
    </w:pPr>
  </w:style>
  <w:style w:type="paragraph" w:styleId="1035">
    <w:name w:val="toc 4"/>
    <w:basedOn w:val="844"/>
    <w:next w:val="844"/>
    <w:uiPriority w:val="39"/>
    <w:unhideWhenUsed/>
    <w:pPr>
      <w:ind w:left="850"/>
      <w:spacing w:after="57"/>
    </w:pPr>
  </w:style>
  <w:style w:type="paragraph" w:styleId="1036">
    <w:name w:val="toc 5"/>
    <w:basedOn w:val="844"/>
    <w:next w:val="844"/>
    <w:uiPriority w:val="39"/>
    <w:unhideWhenUsed/>
    <w:pPr>
      <w:ind w:left="1134"/>
      <w:spacing w:after="57"/>
    </w:pPr>
  </w:style>
  <w:style w:type="paragraph" w:styleId="1037">
    <w:name w:val="toc 6"/>
    <w:basedOn w:val="844"/>
    <w:next w:val="844"/>
    <w:uiPriority w:val="39"/>
    <w:unhideWhenUsed/>
    <w:pPr>
      <w:ind w:left="1417"/>
      <w:spacing w:after="57"/>
    </w:pPr>
  </w:style>
  <w:style w:type="paragraph" w:styleId="1038">
    <w:name w:val="toc 7"/>
    <w:basedOn w:val="844"/>
    <w:next w:val="844"/>
    <w:uiPriority w:val="39"/>
    <w:unhideWhenUsed/>
    <w:pPr>
      <w:ind w:left="1701"/>
      <w:spacing w:after="57"/>
    </w:pPr>
  </w:style>
  <w:style w:type="paragraph" w:styleId="1039">
    <w:name w:val="toc 8"/>
    <w:basedOn w:val="844"/>
    <w:next w:val="844"/>
    <w:uiPriority w:val="39"/>
    <w:unhideWhenUsed/>
    <w:pPr>
      <w:ind w:left="1984"/>
      <w:spacing w:after="57"/>
    </w:pPr>
  </w:style>
  <w:style w:type="paragraph" w:styleId="1040">
    <w:name w:val="toc 9"/>
    <w:basedOn w:val="844"/>
    <w:next w:val="844"/>
    <w:uiPriority w:val="39"/>
    <w:unhideWhenUsed/>
    <w:pPr>
      <w:ind w:left="2268"/>
      <w:spacing w:after="57"/>
    </w:pPr>
  </w:style>
  <w:style w:type="paragraph" w:styleId="1041">
    <w:name w:val="TOC Heading"/>
    <w:uiPriority w:val="39"/>
    <w:unhideWhenUsed/>
  </w:style>
  <w:style w:type="paragraph" w:styleId="1042">
    <w:name w:val="table of figures"/>
    <w:basedOn w:val="844"/>
    <w:next w:val="844"/>
    <w:uiPriority w:val="99"/>
    <w:unhideWhenUsed/>
  </w:style>
  <w:style w:type="paragraph" w:styleId="1043">
    <w:name w:val="Body Text Indent"/>
    <w:basedOn w:val="844"/>
    <w:link w:val="1044"/>
    <w:pPr>
      <w:ind w:firstLine="720"/>
      <w:spacing w:line="360" w:lineRule="auto"/>
    </w:pPr>
    <w:rPr>
      <w:sz w:val="28"/>
      <w:szCs w:val="20"/>
      <w:lang w:val="en-US"/>
    </w:rPr>
  </w:style>
  <w:style w:type="character" w:styleId="1044" w:customStyle="1">
    <w:name w:val="Основной текст с отступом Знак"/>
    <w:link w:val="104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45" w:customStyle="1">
    <w:name w:val="Нижний колонтитул Знак"/>
    <w:link w:val="8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6">
    <w:name w:val="page number"/>
    <w:basedOn w:val="854"/>
  </w:style>
  <w:style w:type="paragraph" w:styleId="1047">
    <w:name w:val="Body Text Indent 2"/>
    <w:basedOn w:val="844"/>
    <w:link w:val="1048"/>
    <w:pPr>
      <w:ind w:firstLine="720"/>
    </w:pPr>
    <w:rPr>
      <w:b/>
      <w:sz w:val="32"/>
      <w:szCs w:val="32"/>
      <w:lang w:val="en-US"/>
    </w:rPr>
  </w:style>
  <w:style w:type="character" w:styleId="1048" w:customStyle="1">
    <w:name w:val="Основной текст с отступом 2 Знак"/>
    <w:link w:val="1047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1049">
    <w:name w:val="Balloon Text"/>
    <w:basedOn w:val="844"/>
    <w:link w:val="1050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1050" w:customStyle="1">
    <w:name w:val="Текст выноски Знак"/>
    <w:link w:val="104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51" w:customStyle="1">
    <w:name w:val="Верхний колонтитул;Знак"/>
    <w:basedOn w:val="844"/>
    <w:link w:val="1052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1052" w:customStyle="1">
    <w:name w:val="Верхний колонтитул Знак;Знак Знак1"/>
    <w:link w:val="105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3">
    <w:name w:val="Body Text"/>
    <w:basedOn w:val="844"/>
    <w:link w:val="1054"/>
    <w:uiPriority w:val="99"/>
    <w:unhideWhenUsed/>
    <w:pPr>
      <w:spacing w:after="120"/>
    </w:pPr>
  </w:style>
  <w:style w:type="character" w:styleId="1054" w:customStyle="1">
    <w:name w:val="Основной текст Знак"/>
    <w:link w:val="1053"/>
    <w:uiPriority w:val="99"/>
    <w:rPr>
      <w:rFonts w:ascii="Times New Roman" w:hAnsi="Times New Roman" w:eastAsia="Times New Roman"/>
      <w:sz w:val="24"/>
      <w:szCs w:val="24"/>
    </w:rPr>
  </w:style>
  <w:style w:type="paragraph" w:styleId="1055" w:customStyle="1">
    <w:name w:val="Исполнитель"/>
    <w:basedOn w:val="1053"/>
    <w:pPr>
      <w:jc w:val="left"/>
      <w:spacing w:line="240" w:lineRule="exact"/>
      <w:widowControl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Департамент финансов админситрации г.Перми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legotkina-nyu</cp:lastModifiedBy>
  <cp:revision>4561</cp:revision>
  <dcterms:created xsi:type="dcterms:W3CDTF">2022-06-10T10:27:00Z</dcterms:created>
  <dcterms:modified xsi:type="dcterms:W3CDTF">2025-10-16T10:16:44Z</dcterms:modified>
  <cp:version>983040</cp:version>
</cp:coreProperties>
</file>