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b/>
          <w:bCs/>
          <w:caps/>
          <w:color w:val="000000" w:themeColor="text1"/>
          <w:sz w:val="28"/>
          <w:szCs w:val="28"/>
        </w:rPr>
      </w:pPr>
      <w:r>
        <w:rPr>
          <w:b/>
          <w:bCs/>
          <w:caps/>
          <w:color w:val="000000" w:themeColor="text1"/>
          <w:sz w:val="28"/>
          <w:szCs w:val="28"/>
        </w:rPr>
      </w:r>
      <w:r>
        <w:rPr>
          <w:b/>
          <w:bCs/>
          <w:caps/>
          <w:color w:val="000000" w:themeColor="text1"/>
          <w:sz w:val="28"/>
          <w:szCs w:val="28"/>
        </w:rPr>
      </w:r>
    </w:p>
    <w:p>
      <w:pPr>
        <w:jc w:val="center"/>
        <w:spacing w:line="240" w:lineRule="auto"/>
        <w:rPr>
          <w:b/>
          <w:bCs/>
          <w:caps/>
          <w:color w:val="000000" w:themeColor="text1"/>
          <w:sz w:val="28"/>
          <w:szCs w:val="28"/>
        </w:rPr>
      </w:pPr>
      <w:r>
        <w:rPr>
          <w:b/>
          <w:bCs/>
          <w:caps/>
          <w:color w:val="000000" w:themeColor="text1"/>
          <w:sz w:val="28"/>
          <w:szCs w:val="28"/>
        </w:rPr>
      </w:r>
      <w:r>
        <w:rPr>
          <w:b/>
          <w:bCs/>
          <w:caps/>
          <w:color w:val="000000" w:themeColor="text1"/>
          <w:sz w:val="28"/>
          <w:szCs w:val="28"/>
        </w:rPr>
      </w:r>
      <w:r>
        <w:rPr>
          <w:b/>
          <w:bCs/>
          <w:caps/>
          <w:color w:val="000000" w:themeColor="text1"/>
          <w:sz w:val="28"/>
          <w:szCs w:val="28"/>
        </w:rPr>
      </w:r>
    </w:p>
    <w:p>
      <w:pPr>
        <w:jc w:val="center"/>
        <w:spacing w:line="240" w:lineRule="auto"/>
        <w:rPr>
          <w:b/>
          <w:caps/>
          <w:color w:val="auto"/>
          <w:sz w:val="32"/>
          <w:szCs w:val="32"/>
        </w:rPr>
      </w:pPr>
      <w:r>
        <w:rPr>
          <w:b/>
          <w:caps/>
          <w:color w:val="auto"/>
          <w:sz w:val="32"/>
          <w:szCs w:val="32"/>
        </w:rPr>
        <w:t xml:space="preserve">ОПЕРАТИВНЫЙ АНАЛИЗ Исполнения бюджета</w:t>
      </w:r>
      <w:r>
        <w:rPr>
          <w:b/>
          <w:caps/>
          <w:color w:val="auto"/>
          <w:sz w:val="32"/>
          <w:szCs w:val="32"/>
        </w:rPr>
      </w:r>
      <w:r>
        <w:rPr>
          <w:b/>
          <w:caps/>
          <w:color w:val="auto"/>
          <w:sz w:val="32"/>
          <w:szCs w:val="32"/>
        </w:rPr>
      </w:r>
    </w:p>
    <w:p>
      <w:pPr>
        <w:jc w:val="center"/>
        <w:spacing w:line="240" w:lineRule="auto"/>
        <w:rPr>
          <w:b/>
          <w:caps/>
          <w:color w:val="auto"/>
          <w:sz w:val="32"/>
          <w:szCs w:val="32"/>
        </w:rPr>
      </w:pPr>
      <w:r>
        <w:rPr>
          <w:b/>
          <w:caps/>
          <w:color w:val="auto"/>
          <w:sz w:val="32"/>
          <w:szCs w:val="32"/>
        </w:rPr>
        <w:t xml:space="preserve">города Перми на 1 </w:t>
      </w:r>
      <w:r>
        <w:rPr>
          <w:b/>
          <w:caps/>
          <w:color w:val="auto"/>
          <w:sz w:val="32"/>
          <w:szCs w:val="32"/>
        </w:rPr>
        <w:t xml:space="preserve">НОЯБРЯ </w:t>
      </w:r>
      <w:r>
        <w:rPr>
          <w:b/>
          <w:caps/>
          <w:color w:val="auto"/>
          <w:sz w:val="32"/>
          <w:szCs w:val="32"/>
        </w:rPr>
        <w:t xml:space="preserve">2025 года </w:t>
      </w:r>
      <w:r>
        <w:rPr>
          <w:b/>
          <w:caps/>
          <w:color w:val="auto"/>
          <w:sz w:val="32"/>
          <w:szCs w:val="32"/>
        </w:rPr>
      </w:r>
      <w:r>
        <w:rPr>
          <w:b/>
          <w:caps/>
          <w:color w:val="auto"/>
          <w:sz w:val="32"/>
          <w:szCs w:val="32"/>
        </w:rPr>
      </w:r>
    </w:p>
    <w:p>
      <w:pPr>
        <w:jc w:val="center"/>
        <w:spacing w:line="240" w:lineRule="auto"/>
        <w:rPr>
          <w:b/>
          <w:caps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</w:r>
      <w:r>
        <w:rPr>
          <w:b/>
          <w:caps/>
          <w:color w:val="auto"/>
          <w:sz w:val="16"/>
          <w:szCs w:val="16"/>
        </w:rPr>
      </w:r>
      <w:r>
        <w:rPr>
          <w:b/>
          <w:caps/>
          <w:color w:val="auto"/>
          <w:sz w:val="24"/>
          <w:szCs w:val="24"/>
        </w:rPr>
      </w:r>
    </w:p>
    <w:p>
      <w:pPr>
        <w:jc w:val="center"/>
        <w:spacing w:line="240" w:lineRule="auto"/>
        <w:rPr>
          <w:b/>
          <w:caps/>
          <w:color w:val="auto"/>
          <w:sz w:val="32"/>
          <w:szCs w:val="32"/>
        </w:rPr>
      </w:pPr>
      <w:r>
        <w:rPr>
          <w:b/>
          <w:caps/>
          <w:color w:val="auto"/>
          <w:sz w:val="32"/>
          <w:szCs w:val="32"/>
        </w:rPr>
        <w:t xml:space="preserve">пояснительная записка</w:t>
      </w:r>
      <w:r>
        <w:rPr>
          <w:b/>
          <w:caps/>
          <w:color w:val="auto"/>
          <w:sz w:val="32"/>
          <w:szCs w:val="32"/>
        </w:rPr>
      </w:r>
      <w:r>
        <w:rPr>
          <w:b/>
          <w:caps/>
          <w:color w:val="auto"/>
          <w:sz w:val="32"/>
          <w:szCs w:val="32"/>
        </w:rPr>
      </w:r>
    </w:p>
    <w:p>
      <w:pPr>
        <w:ind w:firstLine="567"/>
        <w:spacing w:line="240" w:lineRule="auto"/>
        <w:rPr>
          <w:color w:val="auto"/>
          <w:sz w:val="24"/>
          <w:szCs w:val="24"/>
        </w:rPr>
      </w:pPr>
      <w:r>
        <w:rPr>
          <w:color w:val="auto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567"/>
        <w:spacing w:line="240" w:lineRule="auto"/>
        <w:rPr>
          <w:color w:val="auto"/>
          <w:sz w:val="24"/>
          <w:szCs w:val="24"/>
        </w:rPr>
      </w:pPr>
      <w:r>
        <w:rPr>
          <w:color w:val="auto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709"/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Исполнение бюджета города Перми по состоянию на 1 ноября</w:t>
      </w:r>
      <w:r>
        <w:rPr>
          <w:color w:val="auto"/>
          <w:sz w:val="28"/>
          <w:szCs w:val="28"/>
        </w:rPr>
        <w:t xml:space="preserve"> 2025 года                     по оперативным данным характеризуется следующими показателями: </w:t>
      </w:r>
      <w:r>
        <w:rPr>
          <w:color w:val="auto"/>
          <w:sz w:val="16"/>
          <w:szCs w:val="16"/>
        </w:rPr>
        <w:tab/>
      </w:r>
      <w:r>
        <w:rPr>
          <w:color w:val="auto"/>
          <w:sz w:val="28"/>
          <w:szCs w:val="28"/>
        </w:rPr>
        <w:t xml:space="preserve">   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spacing w:line="240" w:lineRule="auto"/>
        <w:tabs>
          <w:tab w:val="left" w:pos="0" w:leader="none"/>
          <w:tab w:val="left" w:pos="709" w:leader="none"/>
        </w:tabs>
        <w:rPr>
          <w:color w:val="auto"/>
          <w:sz w:val="28"/>
          <w:szCs w:val="28"/>
        </w:rPr>
      </w:pPr>
      <w:r>
        <w:rPr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28"/>
          <w:szCs w:val="28"/>
        </w:rPr>
        <w:t xml:space="preserve">по</w:t>
      </w:r>
      <w:r>
        <w:rPr>
          <w:b/>
          <w:color w:val="auto"/>
          <w:sz w:val="28"/>
          <w:szCs w:val="28"/>
        </w:rPr>
        <w:t xml:space="preserve"> доходам </w:t>
      </w:r>
      <w:r>
        <w:rPr>
          <w:b/>
          <w:bCs/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в </w:t>
      </w:r>
      <w:r>
        <w:rPr>
          <w:color w:val="auto"/>
          <w:sz w:val="28"/>
          <w:szCs w:val="28"/>
        </w:rPr>
        <w:t xml:space="preserve">сумм</w:t>
      </w:r>
      <w:r>
        <w:rPr>
          <w:color w:val="auto"/>
          <w:sz w:val="28"/>
          <w:szCs w:val="28"/>
        </w:rPr>
        <w:t xml:space="preserve">е</w:t>
      </w:r>
      <w:r>
        <w:rPr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 xml:space="preserve">47 580 314,5 </w:t>
      </w:r>
      <w:r>
        <w:rPr>
          <w:color w:val="auto"/>
          <w:sz w:val="28"/>
          <w:szCs w:val="28"/>
        </w:rPr>
        <w:t xml:space="preserve">тыс.</w:t>
      </w:r>
      <w:r>
        <w:rPr>
          <w:color w:val="auto"/>
          <w:sz w:val="28"/>
          <w:szCs w:val="28"/>
        </w:rPr>
        <w:t xml:space="preserve"> ру</w:t>
      </w:r>
      <w:r>
        <w:rPr>
          <w:color w:val="auto"/>
          <w:sz w:val="28"/>
          <w:szCs w:val="28"/>
        </w:rPr>
        <w:t xml:space="preserve">б</w:t>
      </w:r>
      <w:r>
        <w:rPr>
          <w:color w:val="auto"/>
          <w:sz w:val="28"/>
          <w:szCs w:val="28"/>
        </w:rPr>
        <w:t xml:space="preserve">.</w:t>
      </w:r>
      <w:r>
        <w:rPr>
          <w:b/>
          <w:color w:val="auto"/>
          <w:sz w:val="28"/>
          <w:szCs w:val="28"/>
        </w:rPr>
        <w:t xml:space="preserve">,</w:t>
      </w: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</w:t>
      </w:r>
      <w:r>
        <w:rPr>
          <w:color w:val="auto"/>
          <w:sz w:val="28"/>
          <w:szCs w:val="28"/>
        </w:rPr>
        <w:t xml:space="preserve">л</w:t>
      </w:r>
      <w:r>
        <w:rPr>
          <w:color w:val="auto"/>
          <w:sz w:val="28"/>
          <w:szCs w:val="28"/>
        </w:rPr>
        <w:t xml:space="preserve">и </w:t>
      </w:r>
      <w:r>
        <w:rPr>
          <w:b/>
          <w:color w:val="000000" w:themeColor="text1"/>
          <w:sz w:val="28"/>
          <w:szCs w:val="28"/>
        </w:rPr>
        <w:t xml:space="preserve">97,2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% </w:t>
      </w:r>
      <w:r>
        <w:rPr>
          <w:color w:val="000000" w:themeColor="text1"/>
          <w:sz w:val="28"/>
          <w:szCs w:val="28"/>
        </w:rPr>
        <w:t xml:space="preserve">от пл</w:t>
      </w:r>
      <w:r>
        <w:rPr>
          <w:color w:val="auto"/>
          <w:sz w:val="28"/>
          <w:szCs w:val="28"/>
        </w:rPr>
        <w:t xml:space="preserve">ана</w:t>
      </w:r>
      <w:r>
        <w:rPr>
          <w:color w:val="auto"/>
        </w:rPr>
        <w:t xml:space="preserve"> </w:t>
      </w:r>
      <w:r>
        <w:rPr>
          <w:color w:val="auto"/>
          <w:sz w:val="28"/>
          <w:szCs w:val="28"/>
        </w:rPr>
        <w:t xml:space="preserve">я</w:t>
      </w:r>
      <w:r>
        <w:rPr>
          <w:color w:val="auto"/>
          <w:sz w:val="28"/>
          <w:szCs w:val="28"/>
        </w:rPr>
        <w:t xml:space="preserve">нваря-</w:t>
      </w:r>
      <w:r>
        <w:rPr>
          <w:color w:val="auto"/>
          <w:sz w:val="28"/>
          <w:szCs w:val="28"/>
        </w:rPr>
        <w:t xml:space="preserve">октября 2025 года (</w:t>
      </w:r>
      <w:r>
        <w:rPr>
          <w:color w:val="auto"/>
          <w:sz w:val="28"/>
          <w:szCs w:val="28"/>
        </w:rPr>
        <w:t xml:space="preserve">48 927 894,3</w:t>
      </w:r>
      <w:r>
        <w:rPr>
          <w:color w:val="auto"/>
          <w:sz w:val="28"/>
          <w:szCs w:val="28"/>
        </w:rPr>
        <w:t xml:space="preserve"> тыс. руб.) </w:t>
      </w:r>
      <w:r>
        <w:rPr>
          <w:color w:val="000000" w:themeColor="text1"/>
          <w:sz w:val="28"/>
          <w:szCs w:val="28"/>
        </w:rPr>
        <w:t xml:space="preserve">и </w:t>
      </w:r>
      <w:r>
        <w:rPr>
          <w:b/>
          <w:color w:val="000000" w:themeColor="text1"/>
          <w:sz w:val="28"/>
          <w:szCs w:val="28"/>
        </w:rPr>
        <w:t xml:space="preserve">74,5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%</w:t>
      </w:r>
      <w:r>
        <w:rPr>
          <w:color w:val="000000" w:themeColor="text1"/>
          <w:sz w:val="28"/>
          <w:szCs w:val="28"/>
        </w:rPr>
        <w:t xml:space="preserve"> от</w:t>
      </w:r>
      <w:r>
        <w:rPr>
          <w:color w:val="000000" w:themeColor="text1"/>
          <w:sz w:val="28"/>
          <w:szCs w:val="28"/>
        </w:rPr>
        <w:t xml:space="preserve"> уточн</w:t>
      </w:r>
      <w:r>
        <w:rPr>
          <w:color w:val="auto"/>
          <w:sz w:val="28"/>
          <w:szCs w:val="28"/>
        </w:rPr>
        <w:t xml:space="preserve">е</w:t>
      </w:r>
      <w:r>
        <w:rPr>
          <w:color w:val="auto"/>
          <w:sz w:val="28"/>
          <w:szCs w:val="28"/>
        </w:rPr>
        <w:t xml:space="preserve">нного</w:t>
      </w:r>
      <w:r>
        <w:rPr>
          <w:color w:val="auto"/>
          <w:sz w:val="28"/>
          <w:szCs w:val="28"/>
        </w:rPr>
        <w:t xml:space="preserve"> годовог</w:t>
      </w:r>
      <w:r>
        <w:rPr>
          <w:color w:val="auto"/>
          <w:sz w:val="28"/>
          <w:szCs w:val="28"/>
        </w:rPr>
        <w:t xml:space="preserve">о план</w:t>
      </w:r>
      <w:r>
        <w:rPr>
          <w:color w:val="auto"/>
          <w:sz w:val="28"/>
          <w:szCs w:val="28"/>
        </w:rPr>
        <w:t xml:space="preserve">а                             </w:t>
      </w:r>
      <w:r>
        <w:rPr>
          <w:color w:val="auto"/>
          <w:sz w:val="28"/>
          <w:szCs w:val="28"/>
        </w:rPr>
        <w:t xml:space="preserve">   (</w:t>
      </w:r>
      <w:r>
        <w:rPr>
          <w:color w:val="auto"/>
          <w:sz w:val="28"/>
          <w:szCs w:val="28"/>
        </w:rPr>
        <w:t xml:space="preserve">63 907 079,8</w:t>
      </w:r>
      <w:r>
        <w:rPr>
          <w:color w:val="auto"/>
          <w:sz w:val="28"/>
          <w:szCs w:val="28"/>
        </w:rPr>
        <w:t xml:space="preserve"> тыс. руб.).  За аналогичный период прошлого года поступления доходов составляли </w:t>
      </w:r>
      <w:r>
        <w:rPr>
          <w:color w:val="auto"/>
          <w:sz w:val="28"/>
          <w:szCs w:val="28"/>
        </w:rPr>
        <w:t xml:space="preserve">45 939 425,8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тыс. руб.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spacing w:line="240" w:lineRule="auto"/>
        <w:tabs>
          <w:tab w:val="left" w:pos="0" w:leader="none"/>
          <w:tab w:val="left" w:pos="709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567"/>
        <w:spacing w:line="240" w:lineRule="atLeas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Анализ поступления доходов бюджета за январь-</w:t>
      </w:r>
      <w:r>
        <w:rPr>
          <w:color w:val="auto"/>
          <w:sz w:val="28"/>
          <w:szCs w:val="28"/>
        </w:rPr>
        <w:t xml:space="preserve">октябрь 2024 и 2025 годов приведен в следующей таблице: 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567"/>
        <w:spacing w:line="240" w:lineRule="atLeas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567"/>
        <w:jc w:val="right"/>
        <w:spacing w:line="240" w:lineRule="atLeast"/>
        <w:rPr>
          <w:color w:val="auto"/>
          <w:sz w:val="20"/>
          <w:szCs w:val="18"/>
        </w:rPr>
      </w:pPr>
      <w:r>
        <w:rPr>
          <w:color w:val="auto"/>
          <w:sz w:val="32"/>
          <w:szCs w:val="28"/>
        </w:rPr>
        <w:t xml:space="preserve">   </w:t>
      </w:r>
      <w:r>
        <w:rPr>
          <w:color w:val="auto"/>
          <w:sz w:val="20"/>
          <w:szCs w:val="18"/>
        </w:rPr>
        <w:t xml:space="preserve">  (</w:t>
      </w:r>
      <w:r>
        <w:rPr>
          <w:color w:val="auto"/>
          <w:sz w:val="20"/>
          <w:szCs w:val="18"/>
        </w:rPr>
        <w:t xml:space="preserve">тыс.руб</w:t>
      </w:r>
      <w:r>
        <w:rPr>
          <w:color w:val="auto"/>
          <w:sz w:val="20"/>
          <w:szCs w:val="18"/>
        </w:rPr>
        <w:t xml:space="preserve">.)</w:t>
      </w:r>
      <w:r>
        <w:rPr>
          <w:color w:val="auto"/>
          <w:sz w:val="20"/>
          <w:szCs w:val="18"/>
        </w:rPr>
      </w:r>
      <w:r>
        <w:rPr>
          <w:color w:val="auto"/>
          <w:sz w:val="20"/>
          <w:szCs w:val="18"/>
        </w:rPr>
      </w:r>
    </w:p>
    <w:tbl>
      <w:tblPr>
        <w:tblW w:w="106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351"/>
        <w:gridCol w:w="1701"/>
        <w:gridCol w:w="1701"/>
        <w:gridCol w:w="1461"/>
        <w:gridCol w:w="1418"/>
      </w:tblGrid>
      <w:tr>
        <w:tblPrEx/>
        <w:trPr>
          <w:jc w:val="center"/>
          <w:trHeight w:val="1046"/>
        </w:trPr>
        <w:tc>
          <w:tcPr>
            <w:tcBorders>
              <w:bottom w:val="single" w:color="000000" w:sz="4" w:space="0"/>
            </w:tcBorders>
            <w:tcW w:w="43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Наименование показателя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auto"/>
                <w:sz w:val="20"/>
              </w:rPr>
            </w:pPr>
            <w:r>
              <w:rPr>
                <w:color w:val="auto"/>
                <w:sz w:val="20"/>
                <w:szCs w:val="22"/>
              </w:rPr>
              <w:t xml:space="preserve">Факт на 01.11</w:t>
            </w:r>
            <w:r>
              <w:rPr>
                <w:color w:val="auto"/>
                <w:sz w:val="20"/>
                <w:szCs w:val="22"/>
              </w:rPr>
              <w:t xml:space="preserve">.2024 </w:t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tcBorders>
              <w:bottom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auto"/>
                <w:sz w:val="20"/>
              </w:rPr>
            </w:pPr>
            <w:r>
              <w:rPr>
                <w:color w:val="auto"/>
                <w:sz w:val="20"/>
                <w:szCs w:val="22"/>
              </w:rPr>
              <w:t xml:space="preserve">Факт на 01.</w:t>
            </w:r>
            <w:r>
              <w:rPr>
                <w:color w:val="auto"/>
                <w:sz w:val="20"/>
                <w:szCs w:val="22"/>
              </w:rPr>
              <w:t xml:space="preserve">11.2025 </w:t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tcBorders>
              <w:bottom w:val="single" w:color="auto" w:sz="4" w:space="0"/>
            </w:tcBorders>
            <w:tcW w:w="146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</w:t>
            </w:r>
            <w:r>
              <w:rPr>
                <w:color w:val="auto"/>
                <w:sz w:val="20"/>
                <w:szCs w:val="20"/>
              </w:rPr>
              <w:t xml:space="preserve">тклонение поступлений 2025 года от 2024 года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Отношение поступлений 2025 года к 2024 году, %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jc w:val="center"/>
          <w:trHeight w:val="569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W w:w="4351" w:type="dxa"/>
            <w:vAlign w:val="center"/>
            <w:textDirection w:val="lrTb"/>
            <w:noWrap w:val="false"/>
          </w:tcPr>
          <w:p>
            <w:pPr>
              <w:jc w:val="left"/>
              <w:spacing w:line="240" w:lineRule="auto"/>
              <w:widowControl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Налоговые и неналоговые доходы, 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left"/>
              <w:spacing w:line="240" w:lineRule="auto"/>
              <w:widowControl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в том числе: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24 437 230,8</w:t>
            </w:r>
            <w:r>
              <w:rPr>
                <w:color w:val="7030a0" w:themeColor="text1"/>
                <w:sz w:val="20"/>
                <w:szCs w:val="20"/>
              </w:rPr>
            </w:r>
            <w:r>
              <w:rPr>
                <w:color w:val="7030a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26 567 493,4</w:t>
            </w:r>
            <w:r>
              <w:rPr>
                <w:color w:val="7030a0" w:themeColor="text1"/>
                <w:sz w:val="20"/>
                <w:szCs w:val="20"/>
              </w:rPr>
            </w:r>
            <w:r>
              <w:rPr>
                <w:color w:val="7030a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2 130 262,6</w:t>
            </w:r>
            <w:r>
              <w:rPr>
                <w:color w:val="7030a0" w:themeColor="text1"/>
                <w:sz w:val="20"/>
                <w:szCs w:val="20"/>
              </w:rPr>
            </w:r>
            <w:r>
              <w:rPr>
                <w:color w:val="7030a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7030a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108,7%</w:t>
            </w:r>
            <w:r>
              <w:rPr>
                <w:color w:val="7030a0" w:themeColor="text1"/>
                <w:sz w:val="20"/>
                <w:szCs w:val="20"/>
              </w:rPr>
            </w:r>
            <w:r>
              <w:rPr>
                <w:color w:val="7030a0" w:themeColor="text1"/>
                <w:sz w:val="20"/>
                <w:szCs w:val="20"/>
              </w:rPr>
            </w:r>
          </w:p>
        </w:tc>
      </w:tr>
      <w:tr>
        <w:tblPrEx/>
        <w:trPr>
          <w:jc w:val="center"/>
          <w:trHeight w:val="6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W w:w="4351" w:type="dxa"/>
            <w:vAlign w:val="center"/>
            <w:textDirection w:val="lrTb"/>
            <w:noWrap w:val="false"/>
          </w:tcPr>
          <w:p>
            <w:pPr>
              <w:ind w:firstLine="176"/>
              <w:jc w:val="left"/>
              <w:spacing w:line="240" w:lineRule="auto"/>
              <w:widowControl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налоговые доходы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17 818 782,0</w:t>
            </w:r>
            <w:r>
              <w:rPr>
                <w:color w:val="7030a0" w:themeColor="text1"/>
                <w:sz w:val="20"/>
                <w:szCs w:val="20"/>
              </w:rPr>
            </w:r>
            <w:r>
              <w:rPr>
                <w:color w:val="7030a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20 096 436,1</w:t>
            </w:r>
            <w:r>
              <w:rPr>
                <w:color w:val="7030a0" w:themeColor="text1"/>
                <w:sz w:val="20"/>
                <w:szCs w:val="20"/>
              </w:rPr>
            </w:r>
            <w:r>
              <w:rPr>
                <w:color w:val="7030a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2 277 654,1</w:t>
            </w:r>
            <w:r>
              <w:rPr>
                <w:color w:val="7030a0" w:themeColor="text1"/>
                <w:sz w:val="20"/>
                <w:szCs w:val="20"/>
              </w:rPr>
            </w:r>
            <w:r>
              <w:rPr>
                <w:color w:val="7030a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7030a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112,8%</w:t>
            </w:r>
            <w:r>
              <w:rPr>
                <w:color w:val="7030a0" w:themeColor="text1"/>
                <w:sz w:val="20"/>
                <w:szCs w:val="20"/>
              </w:rPr>
            </w:r>
            <w:r>
              <w:rPr>
                <w:color w:val="7030a0" w:themeColor="text1"/>
                <w:sz w:val="20"/>
                <w:szCs w:val="20"/>
              </w:rPr>
            </w:r>
          </w:p>
        </w:tc>
      </w:tr>
      <w:tr>
        <w:tblPrEx/>
        <w:trPr>
          <w:jc w:val="center"/>
          <w:trHeight w:val="557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W w:w="4351" w:type="dxa"/>
            <w:vAlign w:val="center"/>
            <w:textDirection w:val="lrTb"/>
            <w:noWrap w:val="false"/>
          </w:tcPr>
          <w:p>
            <w:pPr>
              <w:ind w:firstLine="176"/>
              <w:jc w:val="left"/>
              <w:spacing w:line="240" w:lineRule="auto"/>
              <w:widowControl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неналоговые доходы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6 618 448,8</w:t>
            </w:r>
            <w:r>
              <w:rPr>
                <w:color w:val="7030a0" w:themeColor="text1"/>
                <w:sz w:val="20"/>
                <w:szCs w:val="20"/>
              </w:rPr>
            </w:r>
            <w:r>
              <w:rPr>
                <w:color w:val="7030a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6 471 057,3</w:t>
            </w:r>
            <w:r>
              <w:rPr>
                <w:color w:val="7030a0" w:themeColor="text1"/>
                <w:sz w:val="20"/>
                <w:szCs w:val="20"/>
              </w:rPr>
            </w:r>
            <w:r>
              <w:rPr>
                <w:color w:val="7030a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-147 391,5</w:t>
            </w:r>
            <w:r>
              <w:rPr>
                <w:color w:val="7030a0" w:themeColor="text1"/>
                <w:sz w:val="20"/>
                <w:szCs w:val="20"/>
              </w:rPr>
            </w:r>
            <w:r>
              <w:rPr>
                <w:color w:val="7030a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7030a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97,8%</w:t>
            </w:r>
            <w:r>
              <w:rPr>
                <w:color w:val="7030a0" w:themeColor="text1"/>
                <w:sz w:val="20"/>
                <w:szCs w:val="20"/>
              </w:rPr>
            </w:r>
            <w:r>
              <w:rPr>
                <w:color w:val="7030a0" w:themeColor="text1"/>
                <w:sz w:val="20"/>
                <w:szCs w:val="20"/>
              </w:rPr>
            </w:r>
          </w:p>
        </w:tc>
      </w:tr>
      <w:tr>
        <w:tblPrEx/>
        <w:trPr>
          <w:jc w:val="center"/>
          <w:trHeight w:val="636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W w:w="4351" w:type="dxa"/>
            <w:vAlign w:val="center"/>
            <w:textDirection w:val="lrTb"/>
            <w:noWrap w:val="false"/>
          </w:tcPr>
          <w:p>
            <w:pPr>
              <w:jc w:val="left"/>
              <w:spacing w:line="240" w:lineRule="auto"/>
              <w:widowControl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Безвозмездные поступления от бюджетов других уровней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7030a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21 502 195,0</w:t>
            </w:r>
            <w:r>
              <w:rPr>
                <w:color w:val="7030a0" w:themeColor="text1"/>
                <w:sz w:val="20"/>
                <w:szCs w:val="20"/>
              </w:rPr>
            </w:r>
            <w:r>
              <w:rPr>
                <w:color w:val="7030a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7030a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21 012 821,1</w:t>
            </w:r>
            <w:r>
              <w:rPr>
                <w:color w:val="7030a0" w:themeColor="text1"/>
                <w:sz w:val="20"/>
                <w:szCs w:val="20"/>
              </w:rPr>
            </w:r>
            <w:r>
              <w:rPr>
                <w:color w:val="7030a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-489 373,9</w:t>
            </w:r>
            <w:r>
              <w:rPr>
                <w:color w:val="7030a0" w:themeColor="text1"/>
                <w:sz w:val="20"/>
                <w:szCs w:val="20"/>
              </w:rPr>
            </w:r>
            <w:r>
              <w:rPr>
                <w:color w:val="7030a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7030a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97,7%</w:t>
            </w:r>
            <w:r>
              <w:rPr>
                <w:color w:val="7030a0" w:themeColor="text1"/>
                <w:sz w:val="20"/>
                <w:szCs w:val="20"/>
              </w:rPr>
            </w:r>
            <w:r>
              <w:rPr>
                <w:color w:val="7030a0" w:themeColor="text1"/>
                <w:sz w:val="20"/>
                <w:szCs w:val="20"/>
              </w:rPr>
            </w:r>
          </w:p>
        </w:tc>
      </w:tr>
      <w:tr>
        <w:tblPrEx/>
        <w:trPr>
          <w:jc w:val="center"/>
          <w:trHeight w:val="552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W w:w="4351" w:type="dxa"/>
            <w:vAlign w:val="bottom"/>
            <w:textDirection w:val="lrTb"/>
            <w:noWrap w:val="false"/>
          </w:tcPr>
          <w:p>
            <w:pPr>
              <w:jc w:val="left"/>
              <w:spacing w:line="240" w:lineRule="atLe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Всего доходов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center"/>
              <w:rPr>
                <w:color w:val="7030a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45 939 425,8</w:t>
            </w:r>
            <w:r>
              <w:rPr>
                <w:color w:val="7030a0" w:themeColor="text1"/>
                <w:sz w:val="24"/>
                <w:szCs w:val="24"/>
              </w:rPr>
            </w:r>
            <w:r>
              <w:rPr>
                <w:color w:val="7030a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center"/>
              <w:rPr>
                <w:color w:val="7030a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47 580 314,5</w:t>
            </w:r>
            <w:r>
              <w:rPr>
                <w:color w:val="7030a0" w:themeColor="text1"/>
                <w:sz w:val="24"/>
                <w:szCs w:val="24"/>
              </w:rPr>
            </w:r>
            <w:r>
              <w:rPr>
                <w:color w:val="7030a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1" w:type="dxa"/>
            <w:vAlign w:val="bottom"/>
            <w:textDirection w:val="lrTb"/>
            <w:noWrap/>
          </w:tcPr>
          <w:p>
            <w:pPr>
              <w:jc w:val="center"/>
              <w:rPr>
                <w:color w:val="7030a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1 640 888,7</w:t>
            </w:r>
            <w:r>
              <w:rPr>
                <w:color w:val="7030a0" w:themeColor="text1"/>
                <w:sz w:val="24"/>
                <w:szCs w:val="24"/>
              </w:rPr>
            </w:r>
            <w:r>
              <w:rPr>
                <w:color w:val="7030a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color w:val="7030a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103,6%</w:t>
            </w:r>
            <w:r>
              <w:rPr>
                <w:color w:val="7030a0" w:themeColor="text1"/>
                <w:sz w:val="24"/>
                <w:szCs w:val="24"/>
              </w:rPr>
            </w:r>
            <w:r>
              <w:rPr>
                <w:color w:val="7030a0" w:themeColor="text1"/>
                <w:sz w:val="24"/>
                <w:szCs w:val="24"/>
              </w:rPr>
            </w:r>
          </w:p>
        </w:tc>
      </w:tr>
    </w:tbl>
    <w:p>
      <w:pPr>
        <w:spacing w:line="24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spacing w:line="24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связи с изменениями с 2025 года норматива зачисления налога на доходы физических лиц, в настоящем анализе объем доходов бюджета 2024 года приведен                   в сопоставимые условия (норматив по НДФЛ – 30,0 %).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spacing w:line="240" w:lineRule="atLeast"/>
        <w:tabs>
          <w:tab w:val="left" w:pos="7938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spacing w:line="240" w:lineRule="atLeast"/>
        <w:tabs>
          <w:tab w:val="left" w:pos="7938" w:leader="none"/>
        </w:tabs>
        <w:rPr>
          <w:color w:val="auto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 расходам</w:t>
      </w:r>
      <w:r>
        <w:rPr>
          <w:color w:val="000000" w:themeColor="text1"/>
          <w:sz w:val="28"/>
          <w:szCs w:val="28"/>
        </w:rPr>
        <w:t xml:space="preserve"> - в </w:t>
      </w:r>
      <w:r>
        <w:rPr>
          <w:sz w:val="28"/>
          <w:szCs w:val="28"/>
        </w:rPr>
        <w:t xml:space="preserve">сумме</w:t>
      </w:r>
      <w:r>
        <w:rPr>
          <w:color w:val="auto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49 043 750,9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тыс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</w:rPr>
        <w:t xml:space="preserve"> руб., ил</w:t>
      </w:r>
      <w:r>
        <w:rPr>
          <w:color w:val="auto"/>
          <w:sz w:val="28"/>
          <w:szCs w:val="28"/>
        </w:rPr>
        <w:t xml:space="preserve">и </w:t>
      </w:r>
      <w:r>
        <w:rPr>
          <w:b/>
          <w:color w:val="auto"/>
          <w:sz w:val="28"/>
          <w:szCs w:val="28"/>
        </w:rPr>
        <w:t xml:space="preserve">95,4</w:t>
      </w:r>
      <w:r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 xml:space="preserve">% </w:t>
      </w:r>
      <w:r>
        <w:rPr>
          <w:color w:val="auto"/>
          <w:sz w:val="28"/>
          <w:szCs w:val="28"/>
        </w:rPr>
        <w:t xml:space="preserve">от кассового</w:t>
      </w:r>
      <w:r>
        <w:rPr>
          <w:color w:val="auto"/>
          <w:sz w:val="28"/>
          <w:szCs w:val="28"/>
        </w:rPr>
        <w:t xml:space="preserve"> п</w:t>
      </w:r>
      <w:r>
        <w:rPr>
          <w:sz w:val="28"/>
          <w:szCs w:val="28"/>
        </w:rPr>
        <w:t xml:space="preserve">лана                   января-</w:t>
      </w:r>
      <w:r>
        <w:rPr>
          <w:sz w:val="28"/>
          <w:szCs w:val="28"/>
        </w:rPr>
        <w:t xml:space="preserve">октября 2025 года (</w:t>
      </w:r>
      <w:r>
        <w:rPr>
          <w:sz w:val="28"/>
          <w:szCs w:val="28"/>
        </w:rPr>
        <w:t xml:space="preserve">51 398 734,5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</w:t>
      </w:r>
      <w:r>
        <w:rPr>
          <w:color w:val="auto"/>
          <w:sz w:val="28"/>
          <w:szCs w:val="28"/>
        </w:rPr>
        <w:t xml:space="preserve"> руб.) </w:t>
      </w:r>
      <w:r>
        <w:rPr>
          <w:color w:val="auto"/>
          <w:sz w:val="28"/>
          <w:szCs w:val="28"/>
        </w:rPr>
        <w:t xml:space="preserve">и </w:t>
      </w:r>
      <w:r>
        <w:rPr>
          <w:b/>
          <w:color w:val="auto"/>
          <w:sz w:val="28"/>
          <w:szCs w:val="28"/>
        </w:rPr>
        <w:t xml:space="preserve">70,8</w:t>
      </w:r>
      <w:r>
        <w:rPr>
          <w:b/>
          <w:color w:val="auto"/>
          <w:sz w:val="28"/>
          <w:szCs w:val="28"/>
        </w:rPr>
        <w:t xml:space="preserve"> %</w:t>
      </w:r>
      <w:r>
        <w:rPr>
          <w:color w:val="auto"/>
          <w:sz w:val="28"/>
          <w:szCs w:val="28"/>
        </w:rPr>
        <w:t xml:space="preserve"> от годо</w:t>
      </w:r>
      <w:r>
        <w:rPr>
          <w:color w:val="auto"/>
          <w:sz w:val="28"/>
          <w:szCs w:val="28"/>
        </w:rPr>
        <w:t xml:space="preserve">вых</w:t>
      </w:r>
      <w:r>
        <w:rPr>
          <w:color w:val="auto"/>
          <w:sz w:val="28"/>
          <w:szCs w:val="28"/>
        </w:rPr>
        <w:t xml:space="preserve"> асс</w:t>
      </w:r>
      <w:r>
        <w:rPr>
          <w:color w:val="000000" w:themeColor="text1"/>
          <w:sz w:val="28"/>
          <w:szCs w:val="28"/>
        </w:rPr>
        <w:t xml:space="preserve">игнований               </w:t>
      </w:r>
      <w:r>
        <w:rPr>
          <w:color w:val="000000" w:themeColor="text1"/>
          <w:sz w:val="28"/>
          <w:szCs w:val="28"/>
        </w:rPr>
        <w:t xml:space="preserve">   (</w:t>
      </w:r>
      <w:r>
        <w:rPr>
          <w:color w:val="000000" w:themeColor="text1"/>
          <w:sz w:val="28"/>
          <w:szCs w:val="28"/>
        </w:rPr>
        <w:t xml:space="preserve">69 295 971,2</w:t>
      </w:r>
      <w:r>
        <w:rPr>
          <w:color w:val="000000" w:themeColor="text1"/>
          <w:sz w:val="28"/>
          <w:szCs w:val="28"/>
        </w:rPr>
        <w:t xml:space="preserve"> тыс. руб.). </w:t>
      </w:r>
      <w:r>
        <w:rPr>
          <w:color w:val="auto"/>
          <w:sz w:val="28"/>
          <w:szCs w:val="28"/>
        </w:rPr>
        <w:t xml:space="preserve">К</w:t>
      </w:r>
      <w:r>
        <w:rPr>
          <w:bCs/>
          <w:color w:val="auto"/>
          <w:sz w:val="28"/>
          <w:szCs w:val="28"/>
        </w:rPr>
        <w:t xml:space="preserve">ассовый расход за</w:t>
      </w: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аналогичный период прошлого года составлял </w:t>
      </w:r>
      <w:r>
        <w:rPr>
          <w:color w:val="auto"/>
          <w:sz w:val="28"/>
          <w:szCs w:val="28"/>
        </w:rPr>
        <w:t xml:space="preserve">42 775 813,7</w:t>
      </w:r>
      <w:r>
        <w:rPr>
          <w:color w:val="auto"/>
          <w:sz w:val="28"/>
          <w:szCs w:val="28"/>
        </w:rPr>
        <w:t xml:space="preserve"> т</w:t>
      </w:r>
      <w:r>
        <w:rPr>
          <w:color w:val="auto"/>
          <w:sz w:val="28"/>
          <w:szCs w:val="28"/>
        </w:rPr>
        <w:t xml:space="preserve">ыс. ру</w:t>
      </w:r>
      <w:r>
        <w:rPr>
          <w:color w:val="auto"/>
          <w:sz w:val="28"/>
          <w:szCs w:val="28"/>
        </w:rPr>
        <w:t xml:space="preserve">б., и</w:t>
      </w:r>
      <w:r>
        <w:rPr>
          <w:color w:val="auto"/>
          <w:sz w:val="28"/>
          <w:szCs w:val="28"/>
        </w:rPr>
        <w:t xml:space="preserve">ли </w:t>
      </w:r>
      <w:r>
        <w:rPr>
          <w:b/>
          <w:color w:val="auto"/>
          <w:sz w:val="28"/>
          <w:szCs w:val="28"/>
        </w:rPr>
        <w:t xml:space="preserve">95,6</w:t>
      </w:r>
      <w:r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 xml:space="preserve">%</w:t>
      </w:r>
      <w:r>
        <w:rPr>
          <w:color w:val="auto"/>
          <w:sz w:val="28"/>
          <w:szCs w:val="28"/>
        </w:rPr>
        <w:t xml:space="preserve"> от</w:t>
      </w:r>
      <w:r>
        <w:rPr>
          <w:color w:val="auto"/>
          <w:sz w:val="28"/>
          <w:szCs w:val="28"/>
        </w:rPr>
        <w:t xml:space="preserve"> кас</w:t>
      </w:r>
      <w:r>
        <w:rPr>
          <w:color w:val="auto"/>
          <w:sz w:val="28"/>
          <w:szCs w:val="28"/>
        </w:rPr>
        <w:t xml:space="preserve">сового план</w:t>
      </w:r>
      <w:r>
        <w:rPr>
          <w:color w:val="auto"/>
          <w:sz w:val="28"/>
          <w:szCs w:val="28"/>
        </w:rPr>
        <w:t xml:space="preserve">а января-</w:t>
      </w:r>
      <w:r>
        <w:rPr>
          <w:color w:val="auto"/>
          <w:sz w:val="28"/>
          <w:szCs w:val="28"/>
        </w:rPr>
        <w:t xml:space="preserve">октября 2024 года.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32"/>
        </w:rPr>
      </w:pPr>
      <w:r>
        <w:rPr>
          <w:color w:val="000000" w:themeColor="text1"/>
          <w:sz w:val="20"/>
          <w:szCs w:val="28"/>
        </w:rPr>
        <w:t xml:space="preserve"> </w:t>
      </w:r>
      <w:r>
        <w:rPr>
          <w:color w:val="000000" w:themeColor="text1"/>
          <w:sz w:val="28"/>
          <w:szCs w:val="32"/>
        </w:rPr>
      </w:r>
      <w:r>
        <w:rPr>
          <w:color w:val="000000" w:themeColor="text1"/>
          <w:sz w:val="28"/>
          <w:szCs w:val="32"/>
        </w:rPr>
      </w:r>
    </w:p>
    <w:p>
      <w:pPr>
        <w:ind w:firstLine="709"/>
        <w:spacing w:line="240" w:lineRule="auto"/>
        <w:rPr>
          <w:b/>
          <w:color w:val="auto"/>
          <w:sz w:val="12"/>
          <w:szCs w:val="28"/>
        </w:rPr>
      </w:pPr>
      <w:r>
        <w:rPr>
          <w:color w:val="auto"/>
          <w:sz w:val="28"/>
          <w:szCs w:val="28"/>
        </w:rPr>
        <w:t xml:space="preserve">Кассовые выплаты по расходам за январь-</w:t>
      </w:r>
      <w:r>
        <w:rPr>
          <w:color w:val="auto"/>
          <w:sz w:val="28"/>
          <w:szCs w:val="28"/>
        </w:rPr>
        <w:t xml:space="preserve">октябрь 2025 года превысили поступления по доходам на сумм</w:t>
      </w:r>
      <w:r>
        <w:rPr>
          <w:color w:val="auto"/>
          <w:sz w:val="28"/>
          <w:szCs w:val="28"/>
        </w:rPr>
        <w:t xml:space="preserve">у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1 463 436,4</w:t>
      </w:r>
      <w:r>
        <w:rPr>
          <w:color w:val="auto"/>
          <w:sz w:val="28"/>
          <w:szCs w:val="28"/>
        </w:rPr>
        <w:t xml:space="preserve"> тыс. </w:t>
      </w:r>
      <w:r>
        <w:rPr>
          <w:color w:val="auto"/>
          <w:sz w:val="28"/>
          <w:szCs w:val="28"/>
        </w:rPr>
        <w:t xml:space="preserve">руб.</w:t>
      </w:r>
      <w:r>
        <w:rPr>
          <w:color w:val="auto"/>
        </w:rPr>
        <w:t xml:space="preserve"> </w:t>
      </w:r>
      <w:r>
        <w:rPr>
          <w:b/>
          <w:color w:val="auto"/>
          <w:sz w:val="12"/>
          <w:szCs w:val="28"/>
        </w:rPr>
      </w:r>
      <w:r>
        <w:rPr>
          <w:b/>
          <w:color w:val="auto"/>
          <w:sz w:val="12"/>
          <w:szCs w:val="28"/>
        </w:rPr>
      </w:r>
    </w:p>
    <w:p>
      <w:pPr>
        <w:ind w:firstLine="709"/>
        <w:spacing w:line="240" w:lineRule="atLeast"/>
        <w:tabs>
          <w:tab w:val="left" w:pos="7938" w:leader="none"/>
        </w:tabs>
        <w:rPr>
          <w:color w:val="c00000"/>
          <w:szCs w:val="20"/>
        </w:rPr>
      </w:pPr>
      <w:r>
        <w:rPr>
          <w:color w:val="c00000"/>
          <w:szCs w:val="20"/>
        </w:rPr>
      </w:r>
      <w:r>
        <w:rPr>
          <w:color w:val="c00000"/>
          <w:szCs w:val="20"/>
        </w:rPr>
      </w:r>
      <w:r>
        <w:rPr>
          <w:color w:val="c00000"/>
          <w:szCs w:val="20"/>
        </w:rPr>
      </w:r>
    </w:p>
    <w:p>
      <w:pPr>
        <w:ind w:firstLine="709"/>
        <w:spacing w:line="240" w:lineRule="atLeast"/>
        <w:tabs>
          <w:tab w:val="left" w:pos="0" w:leader="none"/>
          <w:tab w:val="left" w:pos="900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9"/>
        <w:spacing w:line="240" w:lineRule="atLeast"/>
        <w:tabs>
          <w:tab w:val="left" w:pos="0" w:leader="none"/>
          <w:tab w:val="left" w:pos="900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numPr>
          <w:ilvl w:val="0"/>
          <w:numId w:val="1"/>
        </w:numPr>
        <w:contextualSpacing/>
        <w:ind w:right="-1"/>
        <w:jc w:val="center"/>
        <w:spacing w:line="240" w:lineRule="auto"/>
        <w:widowControl/>
        <w:rPr>
          <w:rFonts w:eastAsia="Calibri"/>
          <w:b/>
          <w:caps/>
          <w:color w:val="auto"/>
          <w:sz w:val="28"/>
          <w:szCs w:val="22"/>
        </w:rPr>
      </w:pPr>
      <w:r>
        <w:rPr>
          <w:rFonts w:eastAsia="Calibri"/>
          <w:b/>
          <w:caps/>
          <w:color w:val="auto"/>
          <w:sz w:val="28"/>
          <w:szCs w:val="22"/>
          <w:lang w:eastAsia="en-US"/>
        </w:rPr>
        <w:t xml:space="preserve">ИС</w:t>
      </w:r>
      <w:r>
        <w:rPr>
          <w:rFonts w:eastAsia="Calibri"/>
          <w:b/>
          <w:caps/>
          <w:color w:val="auto"/>
          <w:sz w:val="28"/>
          <w:szCs w:val="22"/>
          <w:lang w:eastAsia="en-US"/>
        </w:rPr>
        <w:t xml:space="preserve">ПОЛНЕНИЕ БЮДЖЕТА ПО ДОХОДАМ </w:t>
      </w:r>
      <w:r>
        <w:rPr>
          <w:rFonts w:eastAsia="Calibri"/>
          <w:b/>
          <w:caps/>
          <w:color w:val="auto"/>
          <w:sz w:val="28"/>
          <w:szCs w:val="22"/>
        </w:rPr>
      </w:r>
      <w:r>
        <w:rPr>
          <w:rFonts w:eastAsia="Calibri"/>
          <w:b/>
          <w:caps/>
          <w:color w:val="auto"/>
          <w:sz w:val="28"/>
          <w:szCs w:val="22"/>
        </w:rPr>
      </w:r>
    </w:p>
    <w:p>
      <w:p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(приложение 1 к настоящей записке)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spacing w:line="240" w:lineRule="auto"/>
        <w:rPr>
          <w:color w:val="92d050"/>
          <w:sz w:val="28"/>
          <w:szCs w:val="28"/>
        </w:rPr>
      </w:pPr>
      <w:r>
        <w:rPr>
          <w:color w:val="92d050"/>
          <w:sz w:val="28"/>
          <w:szCs w:val="28"/>
        </w:rPr>
      </w:r>
      <w:r>
        <w:rPr>
          <w:color w:val="92d050"/>
          <w:sz w:val="28"/>
          <w:szCs w:val="28"/>
        </w:rPr>
      </w:r>
      <w:r>
        <w:rPr>
          <w:color w:val="92d050"/>
          <w:sz w:val="28"/>
          <w:szCs w:val="28"/>
        </w:rPr>
      </w:r>
    </w:p>
    <w:p>
      <w:pPr>
        <w:ind w:firstLine="709"/>
        <w:spacing w:line="240" w:lineRule="auto"/>
        <w:tabs>
          <w:tab w:val="left" w:pos="0" w:leader="none"/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Нал</w:t>
      </w:r>
      <w:r>
        <w:rPr>
          <w:b/>
          <w:color w:val="auto"/>
          <w:sz w:val="28"/>
          <w:szCs w:val="28"/>
        </w:rPr>
        <w:t xml:space="preserve">оговые дохо</w:t>
      </w:r>
      <w:r>
        <w:rPr>
          <w:b/>
          <w:color w:val="000000" w:themeColor="text1"/>
          <w:sz w:val="28"/>
          <w:szCs w:val="28"/>
        </w:rPr>
        <w:t xml:space="preserve">ды</w:t>
      </w:r>
      <w:r>
        <w:rPr>
          <w:color w:val="000000" w:themeColor="text1"/>
          <w:sz w:val="28"/>
          <w:szCs w:val="28"/>
        </w:rPr>
        <w:t xml:space="preserve"> поступили в бюджет города в </w:t>
      </w:r>
      <w:r>
        <w:rPr>
          <w:color w:val="000000" w:themeColor="text1"/>
          <w:sz w:val="28"/>
          <w:szCs w:val="28"/>
        </w:rPr>
        <w:t xml:space="preserve">су</w:t>
      </w:r>
      <w:r>
        <w:rPr>
          <w:color w:val="000000" w:themeColor="text1"/>
          <w:sz w:val="28"/>
          <w:szCs w:val="28"/>
        </w:rPr>
        <w:t xml:space="preserve">мме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20 096 436,1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тыс</w:t>
      </w:r>
      <w:r>
        <w:rPr>
          <w:color w:val="000000" w:themeColor="text1"/>
          <w:sz w:val="28"/>
          <w:szCs w:val="28"/>
        </w:rPr>
        <w:t xml:space="preserve">. руб., </w:t>
      </w:r>
      <w:r>
        <w:rPr>
          <w:color w:val="000000" w:themeColor="text1"/>
          <w:sz w:val="28"/>
          <w:szCs w:val="28"/>
        </w:rPr>
        <w:t xml:space="preserve">или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94,8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%</w:t>
      </w:r>
      <w:r>
        <w:rPr>
          <w:color w:val="000000" w:themeColor="text1"/>
          <w:sz w:val="28"/>
          <w:szCs w:val="28"/>
        </w:rPr>
        <w:t xml:space="preserve"> к плану </w:t>
      </w:r>
      <w:r>
        <w:rPr>
          <w:color w:val="000000" w:themeColor="text1"/>
          <w:sz w:val="28"/>
          <w:szCs w:val="28"/>
          <w:highlight w:val="white"/>
        </w:rPr>
        <w:t xml:space="preserve">января-</w:t>
      </w:r>
      <w:r>
        <w:rPr>
          <w:color w:val="000000" w:themeColor="text1"/>
          <w:sz w:val="28"/>
          <w:szCs w:val="28"/>
        </w:rPr>
        <w:t xml:space="preserve">октября 2025 года (</w:t>
      </w:r>
      <w:r>
        <w:rPr>
          <w:color w:val="000000" w:themeColor="text1"/>
          <w:sz w:val="28"/>
          <w:szCs w:val="28"/>
        </w:rPr>
        <w:t xml:space="preserve">21 201 251,1</w:t>
      </w:r>
      <w:r>
        <w:rPr>
          <w:color w:val="000000" w:themeColor="text1"/>
          <w:sz w:val="28"/>
          <w:szCs w:val="28"/>
        </w:rPr>
        <w:t xml:space="preserve"> тыс. руб.) и </w:t>
      </w:r>
      <w:r>
        <w:rPr>
          <w:b/>
          <w:bCs/>
          <w:color w:val="000000" w:themeColor="text1"/>
          <w:sz w:val="28"/>
          <w:szCs w:val="28"/>
        </w:rPr>
        <w:t xml:space="preserve">71,6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% </w:t>
      </w:r>
      <w:r>
        <w:rPr>
          <w:color w:val="000000" w:themeColor="text1"/>
          <w:sz w:val="28"/>
          <w:szCs w:val="28"/>
        </w:rPr>
        <w:t xml:space="preserve">                      </w:t>
      </w:r>
      <w:r>
        <w:rPr>
          <w:color w:val="000000" w:themeColor="text1"/>
          <w:sz w:val="28"/>
          <w:szCs w:val="28"/>
        </w:rPr>
        <w:t xml:space="preserve">к </w:t>
      </w:r>
      <w:r>
        <w:rPr>
          <w:color w:val="000000" w:themeColor="text1"/>
          <w:sz w:val="28"/>
          <w:szCs w:val="28"/>
        </w:rPr>
        <w:t xml:space="preserve">план</w:t>
      </w:r>
      <w:r>
        <w:rPr>
          <w:color w:val="000000" w:themeColor="text1"/>
          <w:sz w:val="28"/>
          <w:szCs w:val="28"/>
        </w:rPr>
        <w:t xml:space="preserve">у </w:t>
      </w:r>
      <w:r>
        <w:rPr>
          <w:color w:val="000000" w:themeColor="text1"/>
          <w:sz w:val="28"/>
          <w:szCs w:val="28"/>
        </w:rPr>
        <w:t xml:space="preserve">го</w:t>
      </w:r>
      <w:r>
        <w:rPr>
          <w:color w:val="000000" w:themeColor="text1"/>
          <w:sz w:val="28"/>
          <w:szCs w:val="28"/>
        </w:rPr>
        <w:t xml:space="preserve">да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(</w:t>
      </w:r>
      <w:r>
        <w:rPr>
          <w:color w:val="000000" w:themeColor="text1"/>
          <w:sz w:val="28"/>
          <w:szCs w:val="28"/>
        </w:rPr>
        <w:t xml:space="preserve">28 065 221,0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тыс. руб</w:t>
      </w:r>
      <w:r>
        <w:rPr>
          <w:color w:val="000000" w:themeColor="text1"/>
          <w:sz w:val="28"/>
          <w:szCs w:val="28"/>
        </w:rPr>
        <w:t xml:space="preserve">.). З</w:t>
      </w:r>
      <w:r>
        <w:rPr>
          <w:color w:val="000000" w:themeColor="text1"/>
          <w:sz w:val="28"/>
          <w:szCs w:val="28"/>
        </w:rPr>
        <w:t xml:space="preserve">а а</w:t>
      </w:r>
      <w:r>
        <w:rPr>
          <w:color w:val="000000" w:themeColor="text1"/>
          <w:sz w:val="28"/>
          <w:szCs w:val="28"/>
        </w:rPr>
        <w:t xml:space="preserve">налогичный период прошлого года поступления </w:t>
      </w:r>
      <w:r>
        <w:rPr>
          <w:color w:val="000000" w:themeColor="text1"/>
          <w:sz w:val="28"/>
          <w:szCs w:val="28"/>
        </w:rPr>
        <w:t xml:space="preserve">налоговых доходов составляли </w:t>
      </w:r>
      <w:r>
        <w:rPr>
          <w:color w:val="000000" w:themeColor="text1"/>
          <w:sz w:val="28"/>
          <w:szCs w:val="28"/>
        </w:rPr>
        <w:t xml:space="preserve">17 818 782,0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тыс. руб.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spacing w:line="240" w:lineRule="auto"/>
        <w:tabs>
          <w:tab w:val="left" w:pos="0" w:leader="none"/>
          <w:tab w:val="left" w:pos="709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9"/>
        <w:spacing w:line="240" w:lineRule="auto"/>
        <w:tabs>
          <w:tab w:val="left" w:pos="0" w:leader="none"/>
        </w:tabs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Неналоговые доходы</w:t>
      </w:r>
      <w:r>
        <w:rPr>
          <w:color w:val="000000" w:themeColor="text1"/>
          <w:sz w:val="28"/>
          <w:szCs w:val="28"/>
        </w:rPr>
        <w:t xml:space="preserve"> пост</w:t>
      </w:r>
      <w:r>
        <w:rPr>
          <w:color w:val="auto"/>
          <w:sz w:val="28"/>
          <w:szCs w:val="28"/>
        </w:rPr>
        <w:t xml:space="preserve">упили в бюджет города в </w:t>
      </w:r>
      <w:r>
        <w:rPr>
          <w:color w:val="auto"/>
          <w:sz w:val="28"/>
          <w:szCs w:val="28"/>
        </w:rPr>
        <w:t xml:space="preserve">су</w:t>
      </w:r>
      <w:r>
        <w:rPr>
          <w:color w:val="auto"/>
          <w:sz w:val="28"/>
          <w:szCs w:val="28"/>
        </w:rPr>
        <w:t xml:space="preserve">мм</w:t>
      </w:r>
      <w:r>
        <w:rPr>
          <w:color w:val="000000" w:themeColor="text1"/>
          <w:sz w:val="28"/>
          <w:szCs w:val="28"/>
        </w:rPr>
        <w:t xml:space="preserve">е </w:t>
      </w:r>
      <w:r>
        <w:rPr>
          <w:b/>
          <w:bCs/>
          <w:color w:val="000000" w:themeColor="text1"/>
          <w:sz w:val="28"/>
          <w:szCs w:val="28"/>
        </w:rPr>
        <w:t xml:space="preserve">6 471 057,3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тыс. руб.</w:t>
      </w:r>
      <w:r>
        <w:rPr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или</w:t>
      </w:r>
      <w:r>
        <w:rPr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99,8 </w:t>
      </w:r>
      <w:r>
        <w:rPr>
          <w:b/>
          <w:bCs/>
          <w:color w:val="auto"/>
          <w:sz w:val="28"/>
          <w:szCs w:val="28"/>
        </w:rPr>
        <w:t xml:space="preserve">%</w:t>
      </w:r>
      <w:r>
        <w:rPr>
          <w:color w:val="auto"/>
          <w:sz w:val="28"/>
          <w:szCs w:val="28"/>
        </w:rPr>
        <w:t xml:space="preserve"> к плану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января-</w:t>
      </w:r>
      <w:r>
        <w:rPr>
          <w:color w:val="auto"/>
          <w:sz w:val="28"/>
          <w:szCs w:val="28"/>
        </w:rPr>
        <w:t xml:space="preserve">октября</w:t>
      </w:r>
      <w:r>
        <w:rPr>
          <w:color w:val="auto"/>
          <w:sz w:val="28"/>
          <w:szCs w:val="28"/>
        </w:rPr>
        <w:t xml:space="preserve"> 2025 года (</w:t>
      </w:r>
      <w:r>
        <w:rPr>
          <w:color w:val="auto"/>
          <w:sz w:val="28"/>
          <w:szCs w:val="28"/>
        </w:rPr>
        <w:t xml:space="preserve">6 481 507,8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тыс. руб.) и</w:t>
      </w:r>
      <w:r>
        <w:rPr>
          <w:color w:val="auto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82,7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%</w:t>
      </w:r>
      <w:r>
        <w:rPr>
          <w:color w:val="000000" w:themeColor="text1"/>
          <w:sz w:val="28"/>
          <w:szCs w:val="28"/>
        </w:rPr>
        <w:t xml:space="preserve">      </w:t>
      </w:r>
      <w:r>
        <w:rPr>
          <w:color w:val="auto"/>
          <w:sz w:val="28"/>
          <w:szCs w:val="28"/>
        </w:rPr>
        <w:t xml:space="preserve">                   к </w:t>
      </w:r>
      <w:r>
        <w:rPr>
          <w:color w:val="000000" w:themeColor="text1"/>
          <w:sz w:val="28"/>
          <w:szCs w:val="28"/>
        </w:rPr>
        <w:t xml:space="preserve">пла</w:t>
      </w:r>
      <w:r>
        <w:rPr>
          <w:color w:val="auto"/>
          <w:sz w:val="28"/>
          <w:szCs w:val="28"/>
        </w:rPr>
        <w:t xml:space="preserve">ну </w:t>
      </w:r>
      <w:r>
        <w:rPr>
          <w:color w:val="auto"/>
          <w:sz w:val="28"/>
          <w:szCs w:val="28"/>
        </w:rPr>
        <w:t xml:space="preserve">года</w:t>
      </w:r>
      <w:r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 xml:space="preserve">7 828 489,0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тыс. руб.</w:t>
      </w:r>
      <w:r>
        <w:rPr>
          <w:color w:val="auto"/>
          <w:sz w:val="28"/>
          <w:szCs w:val="28"/>
        </w:rPr>
        <w:t xml:space="preserve">). За аналогич</w:t>
      </w:r>
      <w:r>
        <w:rPr>
          <w:color w:val="000000" w:themeColor="text1"/>
          <w:sz w:val="28"/>
          <w:szCs w:val="28"/>
        </w:rPr>
        <w:t xml:space="preserve">ный период прошлого года поступления неналоговых доходов составл</w:t>
      </w:r>
      <w:r>
        <w:rPr>
          <w:color w:val="000000" w:themeColor="text1"/>
          <w:sz w:val="28"/>
          <w:szCs w:val="28"/>
        </w:rPr>
        <w:t xml:space="preserve">яли </w:t>
      </w:r>
      <w:r>
        <w:rPr>
          <w:color w:val="000000" w:themeColor="text1"/>
          <w:sz w:val="28"/>
          <w:szCs w:val="28"/>
        </w:rPr>
        <w:t xml:space="preserve">6 618 448,8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тыс. руб.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spacing w:line="240" w:lineRule="auto"/>
        <w:tabs>
          <w:tab w:val="left" w:pos="0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9"/>
        <w:spacing w:line="240" w:lineRule="auto"/>
        <w:tabs>
          <w:tab w:val="left" w:pos="0" w:leader="none"/>
        </w:tabs>
        <w:rPr>
          <w:color w:val="auto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Безв</w:t>
      </w:r>
      <w:r>
        <w:rPr>
          <w:b/>
          <w:color w:val="auto"/>
          <w:sz w:val="28"/>
          <w:szCs w:val="28"/>
        </w:rPr>
        <w:t xml:space="preserve">озмезд</w:t>
      </w:r>
      <w:r>
        <w:rPr>
          <w:b/>
          <w:color w:val="auto"/>
          <w:sz w:val="28"/>
          <w:szCs w:val="28"/>
        </w:rPr>
        <w:t xml:space="preserve">ные поступления</w:t>
      </w:r>
      <w:r>
        <w:rPr>
          <w:color w:val="auto"/>
          <w:sz w:val="28"/>
          <w:szCs w:val="28"/>
        </w:rPr>
        <w:t xml:space="preserve"> от бюджетов других уровней поступили в сумме         </w:t>
      </w:r>
      <w:r>
        <w:rPr>
          <w:b/>
          <w:bCs/>
          <w:color w:val="000000" w:themeColor="text1"/>
          <w:sz w:val="28"/>
          <w:szCs w:val="28"/>
        </w:rPr>
        <w:t xml:space="preserve">21 012 821,1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</w:t>
      </w:r>
      <w:r>
        <w:rPr>
          <w:color w:val="000000" w:themeColor="text1"/>
          <w:sz w:val="28"/>
          <w:szCs w:val="28"/>
        </w:rPr>
        <w:t xml:space="preserve">ыс. р</w:t>
      </w:r>
      <w:r>
        <w:rPr>
          <w:color w:val="auto"/>
          <w:sz w:val="28"/>
          <w:szCs w:val="28"/>
        </w:rPr>
        <w:t xml:space="preserve">уб., и</w:t>
      </w:r>
      <w:r>
        <w:rPr>
          <w:color w:val="000000" w:themeColor="text1"/>
          <w:sz w:val="28"/>
          <w:szCs w:val="28"/>
        </w:rPr>
        <w:t xml:space="preserve">ли </w:t>
      </w:r>
      <w:r>
        <w:rPr>
          <w:b/>
          <w:bCs/>
          <w:color w:val="000000" w:themeColor="text1"/>
          <w:sz w:val="28"/>
          <w:szCs w:val="28"/>
        </w:rPr>
        <w:t xml:space="preserve">98,9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%</w:t>
      </w:r>
      <w:r>
        <w:rPr>
          <w:color w:val="000000" w:themeColor="text1"/>
          <w:sz w:val="28"/>
          <w:szCs w:val="28"/>
          <w:highlight w:val="white"/>
        </w:rPr>
        <w:t xml:space="preserve"> к п</w:t>
      </w:r>
      <w:r>
        <w:rPr>
          <w:color w:val="auto"/>
          <w:sz w:val="28"/>
          <w:szCs w:val="28"/>
          <w:highlight w:val="white"/>
        </w:rPr>
        <w:t xml:space="preserve">лану </w:t>
      </w:r>
      <w:r>
        <w:rPr>
          <w:color w:val="auto"/>
          <w:sz w:val="28"/>
          <w:szCs w:val="28"/>
          <w:highlight w:val="white"/>
        </w:rPr>
        <w:t xml:space="preserve">января-</w:t>
      </w:r>
      <w:r>
        <w:rPr>
          <w:color w:val="auto"/>
          <w:sz w:val="28"/>
          <w:szCs w:val="28"/>
        </w:rPr>
        <w:t xml:space="preserve">октября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2025</w:t>
      </w:r>
      <w:r>
        <w:rPr>
          <w:color w:val="auto"/>
          <w:sz w:val="28"/>
          <w:szCs w:val="28"/>
          <w:highlight w:val="white"/>
        </w:rPr>
        <w:t xml:space="preserve"> года (</w:t>
      </w:r>
      <w:r>
        <w:rPr>
          <w:color w:val="auto"/>
          <w:sz w:val="28"/>
          <w:szCs w:val="28"/>
          <w:highlight w:val="white"/>
        </w:rPr>
        <w:t xml:space="preserve">21 245 135,4</w:t>
      </w:r>
      <w:r>
        <w:rPr>
          <w:color w:val="c00000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   </w:t>
      </w:r>
      <w:r>
        <w:rPr>
          <w:color w:val="auto"/>
          <w:sz w:val="28"/>
          <w:szCs w:val="28"/>
        </w:rPr>
        <w:t xml:space="preserve">     </w:t>
      </w:r>
      <w:r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тыс.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ру</w:t>
      </w:r>
      <w:r>
        <w:rPr>
          <w:color w:val="auto"/>
          <w:sz w:val="28"/>
          <w:szCs w:val="28"/>
          <w:highlight w:val="white"/>
        </w:rPr>
        <w:t xml:space="preserve">б.) </w:t>
      </w:r>
      <w:r>
        <w:rPr>
          <w:color w:val="auto"/>
          <w:sz w:val="28"/>
          <w:szCs w:val="28"/>
          <w:highlight w:val="white"/>
        </w:rPr>
        <w:t xml:space="preserve">и </w:t>
      </w:r>
      <w:r>
        <w:rPr>
          <w:b/>
          <w:bCs/>
          <w:color w:val="auto"/>
          <w:sz w:val="28"/>
          <w:szCs w:val="28"/>
          <w:highlight w:val="white"/>
        </w:rPr>
        <w:t xml:space="preserve">75,0 </w:t>
      </w:r>
      <w:r>
        <w:rPr>
          <w:b/>
          <w:bCs/>
          <w:color w:val="auto"/>
          <w:sz w:val="28"/>
          <w:szCs w:val="28"/>
          <w:highlight w:val="white"/>
        </w:rPr>
        <w:t xml:space="preserve">% </w:t>
      </w:r>
      <w:r>
        <w:rPr>
          <w:color w:val="auto"/>
          <w:sz w:val="28"/>
          <w:szCs w:val="28"/>
          <w:highlight w:val="white"/>
        </w:rPr>
        <w:t xml:space="preserve">к плану года (</w:t>
      </w:r>
      <w:r>
        <w:rPr>
          <w:color w:val="auto"/>
          <w:sz w:val="28"/>
          <w:szCs w:val="28"/>
          <w:highlight w:val="white"/>
        </w:rPr>
        <w:t xml:space="preserve">28 013 369,8</w:t>
      </w:r>
      <w:r>
        <w:rPr>
          <w:color w:val="auto"/>
          <w:sz w:val="28"/>
          <w:szCs w:val="28"/>
          <w:highlight w:val="white"/>
        </w:rPr>
        <w:t xml:space="preserve"> тыс. р</w:t>
      </w:r>
      <w:r>
        <w:rPr>
          <w:color w:val="auto"/>
          <w:sz w:val="28"/>
          <w:szCs w:val="28"/>
        </w:rPr>
        <w:t xml:space="preserve">уб.). За ана</w:t>
      </w:r>
      <w:r>
        <w:rPr>
          <w:color w:val="auto"/>
          <w:sz w:val="28"/>
          <w:szCs w:val="28"/>
        </w:rPr>
        <w:t xml:space="preserve">логичный период прошлого года поступления составляли </w:t>
      </w:r>
      <w:r>
        <w:rPr>
          <w:color w:val="auto"/>
          <w:sz w:val="28"/>
          <w:szCs w:val="28"/>
        </w:rPr>
        <w:t xml:space="preserve">21 502 195,0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тыс. руб.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spacing w:line="240" w:lineRule="auto"/>
        <w:tabs>
          <w:tab w:val="left" w:pos="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spacing w:line="240" w:lineRule="auto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8"/>
        </w:rPr>
        <w:t xml:space="preserve">Анализ исполнения плана по доходам за январь-</w:t>
      </w:r>
      <w:r>
        <w:rPr>
          <w:color w:val="auto"/>
          <w:sz w:val="28"/>
          <w:szCs w:val="28"/>
        </w:rPr>
        <w:t xml:space="preserve">октябрь 2025 года по осно</w:t>
      </w:r>
      <w:r>
        <w:rPr>
          <w:color w:val="auto"/>
          <w:sz w:val="28"/>
          <w:szCs w:val="28"/>
        </w:rPr>
        <w:t xml:space="preserve">вным </w:t>
      </w:r>
      <w:r>
        <w:rPr>
          <w:color w:val="auto"/>
          <w:sz w:val="28"/>
          <w:szCs w:val="28"/>
        </w:rPr>
        <w:t xml:space="preserve">бюдже</w:t>
      </w:r>
      <w:r>
        <w:rPr>
          <w:color w:val="000000" w:themeColor="text1"/>
          <w:sz w:val="28"/>
          <w:szCs w:val="28"/>
        </w:rPr>
        <w:t xml:space="preserve">тообразующим</w:t>
      </w:r>
      <w:r>
        <w:rPr>
          <w:color w:val="000000" w:themeColor="text1"/>
          <w:sz w:val="28"/>
          <w:szCs w:val="28"/>
        </w:rPr>
        <w:t xml:space="preserve"> поступлениям выглядит следующим образом: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000000" w:themeColor="text1"/>
          <w:sz w:val="28"/>
          <w:highlight w:val="white"/>
        </w:rPr>
        <w:suppressLineNumbers w:val="0"/>
      </w:pPr>
      <w:r>
        <w:rPr>
          <w:color w:val="000000" w:themeColor="text1"/>
          <w:sz w:val="28"/>
          <w:highlight w:val="white"/>
        </w:rPr>
      </w:r>
      <w:r>
        <w:rPr>
          <w:color w:val="000000" w:themeColor="text1"/>
          <w:sz w:val="28"/>
          <w:highlight w:val="white"/>
        </w:rPr>
      </w:r>
      <w:r>
        <w:rPr>
          <w:color w:val="000000" w:themeColor="text1"/>
          <w:sz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7030a0" w:themeColor="text1"/>
          <w:sz w:val="28"/>
          <w:szCs w:val="28"/>
          <w:highlight w:val="none"/>
        </w:rPr>
        <w:suppressLineNumbers w:val="0"/>
      </w:pPr>
      <w:r>
        <w:rPr>
          <w:iCs/>
          <w:color w:val="000000" w:themeColor="text1"/>
          <w:sz w:val="28"/>
          <w:szCs w:val="28"/>
          <w:highlight w:val="white"/>
        </w:rPr>
        <w:t xml:space="preserve">По состоянию на 01.11.2025 </w:t>
      </w:r>
      <w:r>
        <w:rPr>
          <w:iCs/>
          <w:color w:val="000000" w:themeColor="text1"/>
          <w:sz w:val="28"/>
          <w:szCs w:val="28"/>
          <w:highlight w:val="white"/>
        </w:rPr>
        <w:t xml:space="preserve">фактическое поступление 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налога на доходы физических лиц </w:t>
      </w:r>
      <w:r>
        <w:rPr>
          <w:b w:val="0"/>
          <w:bCs w:val="0"/>
          <w:iCs/>
          <w:color w:val="000000" w:themeColor="text1"/>
          <w:sz w:val="28"/>
          <w:szCs w:val="28"/>
          <w:highlight w:val="white"/>
        </w:rPr>
        <w:t xml:space="preserve">составило</w:t>
      </w:r>
      <w:r>
        <w:rPr>
          <w:b w:val="0"/>
          <w:bCs w:val="0"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szCs w:val="28"/>
          <w:highlight w:val="white"/>
        </w:rPr>
        <w:t xml:space="preserve">14 900 955,8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iCs/>
          <w:color w:val="000000" w:themeColor="text1"/>
          <w:sz w:val="28"/>
          <w:szCs w:val="28"/>
          <w:highlight w:val="white"/>
        </w:rPr>
        <w:t xml:space="preserve">, </w:t>
      </w:r>
      <w:r>
        <w:rPr>
          <w:iCs/>
          <w:color w:val="000000" w:themeColor="text1"/>
          <w:sz w:val="28"/>
          <w:szCs w:val="28"/>
          <w:highlight w:val="white"/>
        </w:rPr>
        <w:t xml:space="preserve">или 92,1 % к плану отчетного периода (16 173 543,5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руб.) и 69,4</w:t>
      </w:r>
      <w:r>
        <w:rPr>
          <w:color w:val="000000" w:themeColor="text1"/>
          <w:sz w:val="28"/>
          <w:szCs w:val="28"/>
          <w:highlight w:val="white"/>
        </w:rPr>
        <w:t xml:space="preserve"> %</w:t>
      </w:r>
      <w:r>
        <w:rPr>
          <w:iCs/>
          <w:color w:val="000000" w:themeColor="text1"/>
          <w:sz w:val="28"/>
          <w:szCs w:val="28"/>
          <w:highlight w:val="white"/>
        </w:rPr>
        <w:t xml:space="preserve"> к</w:t>
      </w:r>
      <w:r>
        <w:rPr>
          <w:color w:val="000000" w:themeColor="text1"/>
          <w:sz w:val="28"/>
          <w:szCs w:val="28"/>
          <w:highlight w:val="white"/>
        </w:rPr>
        <w:t xml:space="preserve"> уточненному плану года (</w:t>
      </w:r>
      <w:r>
        <w:rPr>
          <w:color w:val="000000" w:themeColor="text1"/>
          <w:sz w:val="28"/>
          <w:szCs w:val="28"/>
          <w:highlight w:val="white"/>
        </w:rPr>
        <w:t xml:space="preserve">21 478 832,2                  тыс. руб.).</w:t>
      </w:r>
      <w:r>
        <w:rPr>
          <w:color w:val="7030a0" w:themeColor="text1"/>
          <w:sz w:val="28"/>
          <w:szCs w:val="28"/>
          <w:highlight w:val="none"/>
        </w:rPr>
      </w:r>
      <w:r>
        <w:rPr>
          <w:color w:val="7030a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7030a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Неполное исполнени</w:t>
      </w:r>
      <w:r>
        <w:rPr>
          <w:color w:val="000000" w:themeColor="text1"/>
          <w:sz w:val="28"/>
          <w:szCs w:val="28"/>
          <w:highlight w:val="none"/>
        </w:rPr>
        <w:t xml:space="preserve">е</w:t>
      </w:r>
      <w:r>
        <w:rPr>
          <w:color w:val="000000" w:themeColor="text1"/>
          <w:sz w:val="28"/>
          <w:szCs w:val="28"/>
          <w:highlight w:val="none"/>
        </w:rPr>
        <w:t xml:space="preserve"> плана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обусловлено </w:t>
      </w:r>
      <w:r>
        <w:rPr>
          <w:color w:val="000000" w:themeColor="text1"/>
          <w:sz w:val="28"/>
          <w:szCs w:val="28"/>
          <w:highlight w:val="none"/>
        </w:rPr>
        <w:t xml:space="preserve">непоступлением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налога на доходы физических лиц с дивидендов от крупного плательщика, а </w:t>
      </w:r>
      <w:r>
        <w:rPr>
          <w:color w:val="000000" w:themeColor="text1"/>
          <w:sz w:val="28"/>
          <w:szCs w:val="28"/>
          <w:highlight w:val="none"/>
        </w:rPr>
        <w:t xml:space="preserve">также увеличением суммы возвратов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  <w:lang w:eastAsia="ru-RU"/>
        </w:rPr>
        <w:t xml:space="preserve">в связи с предоставлением налоговых вычетов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за девять месяцев 2025 года на 24,2 % </w:t>
      </w:r>
      <w:r>
        <w:rPr>
          <w:color w:val="000000" w:themeColor="text1"/>
          <w:sz w:val="28"/>
          <w:szCs w:val="28"/>
          <w:highlight w:val="none"/>
        </w:rPr>
        <w:t xml:space="preserve">относительно аналогичного периода прошлого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года</w:t>
      </w:r>
      <w:r>
        <w:rPr>
          <w:color w:val="000000" w:themeColor="text1"/>
          <w:sz w:val="28"/>
          <w:szCs w:val="28"/>
          <w:highlight w:val="none"/>
        </w:rPr>
        <w:t xml:space="preserve">, </w:t>
      </w:r>
      <w:r>
        <w:rPr>
          <w:color w:val="000000" w:themeColor="text1"/>
          <w:sz w:val="28"/>
          <w:szCs w:val="28"/>
          <w:highlight w:val="none"/>
        </w:rPr>
        <w:t xml:space="preserve">сумма возвратов составила 1 475 279,5 тыс. руб.</w:t>
      </w:r>
      <w:r>
        <w:rPr>
          <w:color w:val="7030a0" w:themeColor="text1"/>
          <w:sz w:val="28"/>
          <w:szCs w:val="28"/>
          <w:highlight w:val="none"/>
        </w:rPr>
      </w:r>
      <w:r>
        <w:rPr>
          <w:color w:val="7030a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7030a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составили 111,1 </w:t>
      </w:r>
      <w:r>
        <w:rPr>
          <w:color w:val="000000" w:themeColor="text1"/>
          <w:sz w:val="28"/>
          <w:szCs w:val="28"/>
          <w:highlight w:val="white"/>
        </w:rPr>
        <w:t xml:space="preserve">%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7030a0" w:themeColor="text1"/>
          <w:sz w:val="28"/>
          <w:szCs w:val="28"/>
          <w:highlight w:val="white"/>
        </w:rPr>
      </w:r>
      <w:r>
        <w:rPr>
          <w:color w:val="7030a0" w:themeColor="text1"/>
          <w:sz w:val="28"/>
          <w:szCs w:val="28"/>
          <w:highlight w:val="white"/>
        </w:rPr>
      </w:r>
    </w:p>
    <w:p>
      <w:pPr>
        <w:contextualSpacing w:val="0"/>
        <w:ind w:firstLine="851"/>
        <w:jc w:val="both"/>
        <w:spacing w:before="0" w:after="0" w:line="240" w:lineRule="auto"/>
        <w:rPr>
          <w:color w:val="7030a0"/>
          <w:sz w:val="24"/>
          <w:szCs w:val="24"/>
          <w:highlight w:val="none"/>
        </w:rPr>
        <w:suppressLineNumbers w:val="0"/>
      </w:pPr>
      <w:r>
        <w:rPr>
          <w:iCs/>
          <w:color w:val="7030a0"/>
          <w:sz w:val="28"/>
          <w:szCs w:val="28"/>
          <w:highlight w:val="none"/>
        </w:rPr>
      </w:r>
      <w:r>
        <w:rPr>
          <w:color w:val="7030a0"/>
          <w:sz w:val="24"/>
          <w:szCs w:val="24"/>
          <w:highlight w:val="none"/>
        </w:rPr>
      </w:r>
      <w:r>
        <w:rPr>
          <w:color w:val="7030a0"/>
          <w:sz w:val="24"/>
          <w:szCs w:val="24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iCs/>
          <w:color w:val="7030a0" w:themeColor="text1"/>
          <w:sz w:val="28"/>
          <w:szCs w:val="28"/>
          <w:highlight w:val="white"/>
        </w:rPr>
        <w:suppressLineNumbers w:val="0"/>
      </w:pPr>
      <w:r>
        <w:rPr>
          <w:iCs/>
          <w:color w:val="000000" w:themeColor="text1"/>
          <w:sz w:val="28"/>
          <w:szCs w:val="28"/>
          <w:highlight w:val="white"/>
        </w:rPr>
        <w:t xml:space="preserve">По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 туристическому налогу </w:t>
      </w:r>
      <w:r>
        <w:rPr>
          <w:iCs/>
          <w:color w:val="000000" w:themeColor="text1"/>
          <w:sz w:val="28"/>
          <w:szCs w:val="28"/>
          <w:highlight w:val="white"/>
        </w:rPr>
        <w:t xml:space="preserve">фактичес</w:t>
      </w:r>
      <w:r>
        <w:rPr>
          <w:iCs/>
          <w:color w:val="000000" w:themeColor="text1"/>
          <w:sz w:val="28"/>
          <w:szCs w:val="28"/>
          <w:highlight w:val="white"/>
        </w:rPr>
        <w:t xml:space="preserve">кое поступление составило 29 572,1</w:t>
      </w:r>
      <w:r>
        <w:rPr>
          <w:iCs/>
          <w:color w:val="000000" w:themeColor="text1"/>
          <w:sz w:val="28"/>
          <w:szCs w:val="28"/>
          <w:highlight w:val="white"/>
        </w:rPr>
        <w:t xml:space="preserve">              тыс. руб., или 55,8 %</w:t>
      </w:r>
      <w:r>
        <w:rPr>
          <w:color w:val="000000" w:themeColor="text1"/>
          <w:sz w:val="28"/>
          <w:szCs w:val="28"/>
          <w:highlight w:val="white"/>
        </w:rPr>
        <w:t xml:space="preserve"> к плану отчетного периода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и плану года (52 994,3 тыс. руб.)</w:t>
      </w:r>
      <w:r>
        <w:rPr>
          <w:iCs/>
          <w:color w:val="000000" w:themeColor="text1"/>
          <w:sz w:val="28"/>
          <w:szCs w:val="28"/>
          <w:highlight w:val="white"/>
        </w:rPr>
        <w:t xml:space="preserve">.</w:t>
      </w:r>
      <w:r>
        <w:rPr>
          <w:iCs/>
          <w:color w:val="7030a0" w:themeColor="text1"/>
          <w:sz w:val="28"/>
          <w:szCs w:val="28"/>
          <w:highlight w:val="white"/>
        </w:rPr>
      </w:r>
      <w:r>
        <w:rPr>
          <w:iCs/>
          <w:color w:val="7030a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7030a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План поступлений налога был сформирован по данным </w:t>
      </w:r>
      <w:r>
        <w:rPr>
          <w:rFonts w:ascii="Times" w:hAnsi="Times"/>
          <w:color w:val="000000" w:themeColor="text1"/>
          <w:sz w:val="28"/>
          <w:szCs w:val="28"/>
          <w:highlight w:val="none"/>
        </w:rPr>
        <w:t xml:space="preserve">статистической отчетности «Сведения о деятельности коллективного средства размещения» о числе дней временного проживания в средствах размещения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и минимальной ставки налога.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В соответствии со статьей 418.4 НК РФ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налоговой базой является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стоимость услуги проживания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информация о которой на дату формирования прогноза отсутствовала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7030a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7030a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850"/>
        <w:jc w:val="both"/>
        <w:spacing w:before="0" w:after="0" w:line="240" w:lineRule="auto"/>
        <w:tabs>
          <w:tab w:val="left" w:pos="850" w:leader="none"/>
        </w:tabs>
        <w:rPr>
          <w:color w:val="7030a0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iCs/>
          <w:color w:val="7030a0"/>
          <w:sz w:val="28"/>
          <w:szCs w:val="28"/>
          <w:highlight w:val="none"/>
        </w:rPr>
      </w:r>
      <w:r>
        <w:rPr>
          <w:color w:val="7030a0"/>
          <w:sz w:val="24"/>
          <w:szCs w:val="24"/>
          <w:highlight w:val="none"/>
          <w14:ligatures w14:val="none"/>
        </w:rPr>
      </w:r>
      <w:r>
        <w:rPr>
          <w:color w:val="7030a0"/>
          <w:sz w:val="24"/>
          <w:szCs w:val="24"/>
          <w:highlight w:val="non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iCs/>
          <w:color w:val="7030a0" w:themeColor="text1"/>
          <w:sz w:val="28"/>
          <w:szCs w:val="28"/>
          <w:highlight w:val="white"/>
        </w:rPr>
        <w:suppressLineNumbers w:val="0"/>
      </w:pPr>
      <w:r>
        <w:rPr>
          <w:iCs/>
          <w:color w:val="000000" w:themeColor="text1"/>
          <w:sz w:val="28"/>
          <w:szCs w:val="28"/>
          <w:highlight w:val="white"/>
        </w:rPr>
        <w:t xml:space="preserve">По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 налогу, взимаемому в связи с применением упрощенной системы налогообложения, </w:t>
      </w:r>
      <w:r>
        <w:rPr>
          <w:iCs/>
          <w:color w:val="000000" w:themeColor="text1"/>
          <w:sz w:val="28"/>
          <w:szCs w:val="28"/>
          <w:highlight w:val="white"/>
        </w:rPr>
        <w:t xml:space="preserve">фактичес</w:t>
      </w:r>
      <w:r>
        <w:rPr>
          <w:iCs/>
          <w:color w:val="000000" w:themeColor="text1"/>
          <w:sz w:val="28"/>
          <w:szCs w:val="28"/>
          <w:highlight w:val="white"/>
        </w:rPr>
        <w:t xml:space="preserve">кое поступление составило</w:t>
      </w:r>
      <w:r>
        <w:rPr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szCs w:val="28"/>
          <w:highlight w:val="white"/>
        </w:rPr>
        <w:t xml:space="preserve">1 176 850,9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руб.,                       или 98,3 % к плану отчетного периода (1 197 647,2 тыс. руб.) и 93,4 % к плану года</w:t>
        <w:br/>
        <w:t xml:space="preserve">(1 259</w:t>
      </w:r>
      <w:r>
        <w:rPr>
          <w:iCs/>
          <w:color w:val="000000" w:themeColor="text1"/>
          <w:sz w:val="28"/>
          <w:szCs w:val="28"/>
          <w:highlight w:val="white"/>
        </w:rPr>
        <w:t xml:space="preserve"> 409,1 тыс. руб.).</w:t>
      </w:r>
      <w:r>
        <w:rPr>
          <w:iCs/>
          <w:color w:val="7030a0" w:themeColor="text1"/>
          <w:sz w:val="28"/>
          <w:szCs w:val="28"/>
          <w:highlight w:val="white"/>
        </w:rPr>
      </w:r>
      <w:r>
        <w:rPr>
          <w:iCs/>
          <w:color w:val="7030a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iCs/>
          <w:color w:val="7030a0" w:themeColor="text1"/>
          <w:sz w:val="28"/>
          <w:szCs w:val="28"/>
          <w:highlight w:val="white"/>
        </w:rPr>
        <w:suppressLineNumbers w:val="0"/>
      </w:pPr>
      <w:r>
        <w:rPr>
          <w:iCs/>
          <w:color w:val="000000" w:themeColor="text1"/>
          <w:sz w:val="28"/>
          <w:szCs w:val="28"/>
          <w:highlight w:val="white"/>
        </w:rPr>
        <w:t xml:space="preserve">Относительно аналогично</w:t>
      </w:r>
      <w:r>
        <w:rPr>
          <w:iCs/>
          <w:color w:val="000000" w:themeColor="text1"/>
          <w:sz w:val="28"/>
          <w:szCs w:val="28"/>
          <w:highlight w:val="white"/>
        </w:rPr>
        <w:t xml:space="preserve">го периода прошлого года поступления составили 106,2 %. </w:t>
      </w:r>
      <w:r>
        <w:rPr>
          <w:iCs/>
          <w:color w:val="7030a0" w:themeColor="text1"/>
          <w:sz w:val="28"/>
          <w:szCs w:val="28"/>
          <w:highlight w:val="white"/>
        </w:rPr>
      </w:r>
      <w:r>
        <w:rPr>
          <w:iCs/>
          <w:color w:val="7030a0" w:themeColor="text1"/>
          <w:sz w:val="28"/>
          <w:szCs w:val="28"/>
          <w:highlight w:val="white"/>
        </w:rPr>
      </w:r>
    </w:p>
    <w:p>
      <w:pPr>
        <w:contextualSpacing w:val="0"/>
        <w:ind w:firstLine="851"/>
        <w:jc w:val="both"/>
        <w:spacing w:before="0" w:after="0" w:line="240" w:lineRule="auto"/>
        <w:rPr>
          <w:color w:val="7030a0" w:themeColor="text1"/>
          <w:sz w:val="20"/>
          <w:szCs w:val="20"/>
          <w:highlight w:val="white"/>
        </w:rPr>
        <w:suppressLineNumbers w:val="0"/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7030a0" w:themeColor="text1"/>
          <w:sz w:val="20"/>
          <w:szCs w:val="20"/>
          <w:highlight w:val="white"/>
        </w:rPr>
      </w:r>
      <w:r>
        <w:rPr>
          <w:color w:val="7030a0" w:themeColor="text1"/>
          <w:sz w:val="20"/>
          <w:szCs w:val="20"/>
          <w:highlight w:val="white"/>
        </w:rPr>
      </w:r>
    </w:p>
    <w:p>
      <w:pPr>
        <w:pStyle w:val="844"/>
        <w:contextualSpacing w:val="0"/>
        <w:ind w:firstLine="709"/>
        <w:jc w:val="both"/>
        <w:spacing w:before="0" w:after="0" w:line="240" w:lineRule="auto"/>
        <w:widowControl w:val="off"/>
        <w:rPr>
          <w:iCs/>
          <w:color w:val="7030a0" w:themeColor="text1"/>
          <w:sz w:val="28"/>
          <w:szCs w:val="28"/>
          <w:highlight w:val="white"/>
        </w:rPr>
        <w:suppressLineNumbers w:val="0"/>
      </w:pPr>
      <w:r>
        <w:rPr>
          <w:iCs/>
          <w:color w:val="000000" w:themeColor="text1"/>
          <w:sz w:val="28"/>
          <w:szCs w:val="28"/>
          <w:highlight w:val="white"/>
        </w:rPr>
        <w:t xml:space="preserve">По 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налогу, взимаемому в связи с применением патентной системы налогообложения,</w:t>
      </w:r>
      <w:r>
        <w:rPr>
          <w:iCs/>
          <w:color w:val="000000" w:themeColor="text1"/>
          <w:sz w:val="28"/>
          <w:szCs w:val="28"/>
          <w:highlight w:val="white"/>
        </w:rPr>
        <w:t xml:space="preserve"> фактическое поступление составило</w:t>
      </w:r>
      <w:r>
        <w:rPr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szCs w:val="28"/>
          <w:highlight w:val="white"/>
        </w:rPr>
        <w:t xml:space="preserve">360 624,6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руб.,                          или 105,6 % к плану отчетного периода (341 592,3 тыс. руб.) и 58,6 % к пл</w:t>
      </w:r>
      <w:r>
        <w:rPr>
          <w:iCs/>
          <w:color w:val="000000" w:themeColor="text1"/>
          <w:sz w:val="28"/>
          <w:szCs w:val="28"/>
          <w:highlight w:val="white"/>
        </w:rPr>
        <w:t xml:space="preserve">ану года </w:t>
        <w:br/>
        <w:t xml:space="preserve">(615 839,4 тыс. руб.). </w:t>
      </w:r>
      <w:r>
        <w:rPr>
          <w:iCs/>
          <w:color w:val="7030a0" w:themeColor="text1"/>
          <w:sz w:val="28"/>
          <w:szCs w:val="28"/>
          <w:highlight w:val="white"/>
        </w:rPr>
      </w:r>
      <w:r>
        <w:rPr>
          <w:iCs/>
          <w:color w:val="7030a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iCs/>
          <w:color w:val="7030a0" w:themeColor="text1"/>
          <w:sz w:val="28"/>
          <w:szCs w:val="28"/>
          <w:highlight w:val="white"/>
        </w:rPr>
        <w:suppressLineNumbers w:val="0"/>
      </w:pPr>
      <w:r>
        <w:rPr>
          <w:iCs/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составили 10</w:t>
      </w:r>
      <w:r>
        <w:rPr>
          <w:iCs/>
          <w:color w:val="000000" w:themeColor="text1"/>
          <w:sz w:val="28"/>
          <w:szCs w:val="28"/>
          <w:highlight w:val="white"/>
        </w:rPr>
        <w:t xml:space="preserve">8,1 %. </w:t>
      </w:r>
      <w:r>
        <w:rPr>
          <w:iCs/>
          <w:color w:val="7030a0" w:themeColor="text1"/>
          <w:sz w:val="28"/>
          <w:szCs w:val="28"/>
          <w:highlight w:val="white"/>
        </w:rPr>
      </w:r>
      <w:r>
        <w:rPr>
          <w:iCs/>
          <w:color w:val="7030a0" w:themeColor="text1"/>
          <w:sz w:val="28"/>
          <w:szCs w:val="28"/>
          <w:highlight w:val="white"/>
        </w:rPr>
      </w:r>
    </w:p>
    <w:p>
      <w:pPr>
        <w:pStyle w:val="844"/>
        <w:contextualSpacing w:val="0"/>
        <w:ind w:firstLine="709"/>
        <w:jc w:val="both"/>
        <w:spacing w:before="0" w:after="0" w:line="240" w:lineRule="auto"/>
        <w:widowControl w:val="off"/>
        <w:rPr>
          <w:iCs/>
          <w:color w:val="7030a0" w:themeColor="text1"/>
          <w:sz w:val="28"/>
          <w:szCs w:val="28"/>
        </w:rPr>
        <w:suppressLineNumbers w:val="0"/>
      </w:pPr>
      <w:r>
        <w:rPr>
          <w:iCs/>
          <w:color w:val="000000" w:themeColor="text1"/>
          <w:sz w:val="28"/>
          <w:szCs w:val="28"/>
        </w:rPr>
        <w:t xml:space="preserve">В соответствии с формой налого</w:t>
      </w:r>
      <w:r>
        <w:rPr>
          <w:iCs/>
          <w:color w:val="000000" w:themeColor="text1"/>
          <w:sz w:val="28"/>
          <w:szCs w:val="28"/>
        </w:rPr>
        <w:t xml:space="preserve">вой отчетности 1-Патент по состоянию                           на 01.07.2025 количество выданных патентов</w:t>
      </w:r>
      <w:r>
        <w:rPr>
          <w:iCs/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</w:rPr>
        <w:t xml:space="preserve">относительно прошлого года </w:t>
      </w:r>
      <w:r>
        <w:rPr>
          <w:iCs/>
          <w:color w:val="000000" w:themeColor="text1"/>
          <w:sz w:val="28"/>
          <w:szCs w:val="28"/>
        </w:rPr>
        <w:t xml:space="preserve">выросло </w:t>
      </w:r>
      <w:r>
        <w:rPr>
          <w:iCs/>
          <w:color w:val="000000" w:themeColor="text1"/>
          <w:sz w:val="28"/>
          <w:szCs w:val="28"/>
        </w:rPr>
        <w:t xml:space="preserve">              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7,0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%, </w:t>
      </w:r>
      <w:r>
        <w:rPr>
          <w:iCs/>
          <w:color w:val="000000" w:themeColor="text1"/>
          <w:sz w:val="28"/>
          <w:szCs w:val="28"/>
        </w:rPr>
        <w:t xml:space="preserve">или на 1 407 единицы.</w:t>
      </w:r>
      <w:r>
        <w:rPr>
          <w:iCs/>
          <w:color w:val="7030a0" w:themeColor="text1"/>
          <w:sz w:val="28"/>
          <w:szCs w:val="28"/>
        </w:rPr>
      </w:r>
      <w:r>
        <w:rPr>
          <w:iCs/>
          <w:color w:val="7030a0" w:themeColor="text1"/>
          <w:sz w:val="28"/>
          <w:szCs w:val="28"/>
        </w:rPr>
      </w:r>
    </w:p>
    <w:p>
      <w:pPr>
        <w:contextualSpacing w:val="0"/>
        <w:ind w:firstLine="851"/>
        <w:jc w:val="both"/>
        <w:spacing w:before="0" w:after="0" w:line="240" w:lineRule="auto"/>
        <w:rPr>
          <w:color w:val="7030a0"/>
          <w:sz w:val="28"/>
          <w:szCs w:val="28"/>
          <w:highlight w:val="white"/>
        </w:rPr>
        <w:suppressLineNumbers w:val="0"/>
      </w:pPr>
      <w:r>
        <w:rPr>
          <w:iCs/>
          <w:color w:val="7030a0"/>
          <w:sz w:val="28"/>
          <w:szCs w:val="28"/>
          <w:highlight w:val="none"/>
        </w:rPr>
      </w:r>
      <w:r>
        <w:rPr>
          <w:color w:val="7030a0"/>
          <w:sz w:val="28"/>
          <w:szCs w:val="28"/>
          <w:highlight w:val="white"/>
        </w:rPr>
      </w:r>
      <w:r>
        <w:rPr>
          <w:color w:val="7030a0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iCs/>
          <w:color w:val="7030a0" w:themeColor="text1"/>
          <w:sz w:val="28"/>
          <w:szCs w:val="28"/>
          <w:highlight w:val="white"/>
        </w:rPr>
        <w:suppressLineNumbers w:val="0"/>
      </w:pPr>
      <w:r>
        <w:rPr>
          <w:b w:val="0"/>
          <w:bCs w:val="0"/>
          <w:iCs/>
          <w:color w:val="000000" w:themeColor="text1"/>
          <w:sz w:val="28"/>
          <w:szCs w:val="28"/>
          <w:highlight w:val="white"/>
        </w:rPr>
        <w:t xml:space="preserve">П</w:t>
      </w:r>
      <w:r>
        <w:rPr>
          <w:b w:val="0"/>
          <w:bCs w:val="0"/>
          <w:iCs/>
          <w:color w:val="000000" w:themeColor="text1"/>
          <w:sz w:val="28"/>
          <w:szCs w:val="28"/>
          <w:highlight w:val="white"/>
        </w:rPr>
        <w:t xml:space="preserve">о 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налогу на имущество физических лиц </w:t>
      </w:r>
      <w:r>
        <w:rPr>
          <w:iCs/>
          <w:color w:val="000000" w:themeColor="text1"/>
          <w:sz w:val="28"/>
          <w:szCs w:val="28"/>
          <w:highlight w:val="white"/>
        </w:rPr>
        <w:t xml:space="preserve">поступление составило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  <w:vertAlign w:val="baseline"/>
        </w:rPr>
        <w:t xml:space="preserve">631 050,6</w:t>
      </w:r>
      <w:r>
        <w:rPr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szCs w:val="28"/>
          <w:highlight w:val="white"/>
        </w:rPr>
        <w:t xml:space="preserve">тыс.</w:t>
      </w:r>
      <w:r>
        <w:rPr>
          <w:iCs/>
          <w:color w:val="000000" w:themeColor="text1"/>
          <w:sz w:val="28"/>
          <w:szCs w:val="28"/>
          <w:highlight w:val="white"/>
        </w:rPr>
        <w:t xml:space="preserve"> руб., </w:t>
      </w:r>
      <w:r>
        <w:rPr>
          <w:color w:val="000000" w:themeColor="text1"/>
          <w:sz w:val="28"/>
          <w:szCs w:val="28"/>
          <w:highlight w:val="white"/>
        </w:rPr>
        <w:t xml:space="preserve">или </w:t>
      </w:r>
      <w:r>
        <w:rPr>
          <w:iCs/>
          <w:color w:val="000000" w:themeColor="text1"/>
          <w:sz w:val="28"/>
          <w:szCs w:val="28"/>
          <w:highlight w:val="white"/>
        </w:rPr>
        <w:t xml:space="preserve">103,6 %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к плану </w:t>
      </w:r>
      <w:r>
        <w:rPr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  <w:vertAlign w:val="baseline"/>
        </w:rPr>
        <w:t xml:space="preserve">608 900,0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руб.) </w:t>
      </w:r>
      <w:r>
        <w:rPr>
          <w:iCs/>
          <w:color w:val="000000" w:themeColor="text1"/>
          <w:sz w:val="28"/>
          <w:szCs w:val="28"/>
          <w:highlight w:val="white"/>
        </w:rPr>
        <w:t xml:space="preserve">и 42,5 % к плану года (1 486 170,1 тыс. руб.).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7030a0" w:themeColor="text1"/>
          <w:sz w:val="28"/>
          <w:szCs w:val="28"/>
          <w:highlight w:val="white"/>
        </w:rPr>
      </w:r>
      <w:r>
        <w:rPr>
          <w:iCs/>
          <w:color w:val="7030a0" w:themeColor="text1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iCs/>
          <w:color w:val="7030a0" w:themeColor="text1"/>
          <w:sz w:val="28"/>
          <w:szCs w:val="28"/>
          <w:highlight w:val="none"/>
        </w:rPr>
        <w:suppressLineNumbers w:val="0"/>
      </w:pPr>
      <w:r>
        <w:rPr>
          <w:iCs/>
          <w:color w:val="000000" w:themeColor="text1"/>
          <w:sz w:val="28"/>
          <w:szCs w:val="28"/>
          <w:highlight w:val="white"/>
        </w:rPr>
      </w:r>
      <w:r>
        <w:rPr>
          <w:iCs/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</w:t>
      </w:r>
      <w:r>
        <w:rPr>
          <w:iCs/>
          <w:color w:val="000000" w:themeColor="text1"/>
          <w:sz w:val="28"/>
          <w:szCs w:val="28"/>
          <w:highlight w:val="white"/>
        </w:rPr>
        <w:t xml:space="preserve">увеличились  на 23,9 %</w:t>
      </w:r>
      <w:r>
        <w:rPr>
          <w:iCs/>
          <w:color w:val="000000" w:themeColor="text1"/>
          <w:sz w:val="28"/>
          <w:szCs w:val="28"/>
          <w:highlight w:val="none"/>
        </w:rPr>
        <w:t xml:space="preserve">.</w:t>
      </w:r>
      <w:r>
        <w:rPr>
          <w:iCs/>
          <w:color w:val="7030a0" w:themeColor="text1"/>
          <w:sz w:val="28"/>
          <w:szCs w:val="28"/>
          <w:highlight w:val="none"/>
        </w:rPr>
      </w:r>
      <w:r>
        <w:rPr>
          <w:iCs/>
          <w:color w:val="7030a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color w:val="7030a0"/>
          <w:sz w:val="28"/>
          <w:szCs w:val="28"/>
          <w:highlight w:val="white"/>
        </w:rPr>
        <w:suppressLineNumbers w:val="0"/>
      </w:pPr>
      <w:r>
        <w:rPr>
          <w:iCs/>
          <w:color w:val="7030a0"/>
          <w:sz w:val="28"/>
          <w:szCs w:val="28"/>
          <w:highlight w:val="none"/>
        </w:rPr>
      </w:r>
      <w:r>
        <w:rPr>
          <w:color w:val="7030a0"/>
          <w:sz w:val="28"/>
          <w:szCs w:val="28"/>
          <w:highlight w:val="white"/>
        </w:rPr>
      </w:r>
      <w:r>
        <w:rPr>
          <w:color w:val="7030a0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7030a0" w:themeColor="text1"/>
          <w:sz w:val="28"/>
          <w:szCs w:val="28"/>
          <w:highlight w:val="none"/>
        </w:rPr>
        <w:suppressLineNumbers w:val="0"/>
      </w:pPr>
      <w:r>
        <w:rPr>
          <w:b w:val="0"/>
          <w:bCs w:val="0"/>
          <w:iCs/>
          <w:color w:val="000000" w:themeColor="text1"/>
          <w:sz w:val="28"/>
          <w:szCs w:val="28"/>
          <w:highlight w:val="white"/>
        </w:rPr>
        <w:t xml:space="preserve">По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 земельному налогу</w:t>
      </w:r>
      <w:r>
        <w:rPr>
          <w:color w:val="000000" w:themeColor="text1"/>
          <w:sz w:val="28"/>
          <w:szCs w:val="28"/>
          <w:highlight w:val="white"/>
        </w:rPr>
        <w:t xml:space="preserve"> фактическое поступление со</w:t>
      </w:r>
      <w:r>
        <w:rPr>
          <w:color w:val="000000" w:themeColor="text1"/>
          <w:sz w:val="28"/>
          <w:szCs w:val="28"/>
          <w:highlight w:val="white"/>
        </w:rPr>
        <w:t xml:space="preserve">ставило </w:t>
      </w:r>
      <w:r>
        <w:rPr>
          <w:color w:val="000000" w:themeColor="text1"/>
          <w:sz w:val="28"/>
          <w:szCs w:val="28"/>
          <w:highlight w:val="white"/>
        </w:rPr>
        <w:t xml:space="preserve">2 374 664,8</w:t>
      </w:r>
      <w:r>
        <w:rPr>
          <w:color w:val="000000" w:themeColor="text1"/>
          <w:sz w:val="28"/>
          <w:szCs w:val="28"/>
          <w:highlight w:val="white"/>
        </w:rPr>
        <w:t xml:space="preserve">            тыс. руб., что на 7,0 % превышает план отчетного периода </w:t>
      </w:r>
      <w:r>
        <w:rPr>
          <w:color w:val="000000" w:themeColor="text1"/>
          <w:sz w:val="28"/>
          <w:szCs w:val="28"/>
          <w:highlight w:val="white"/>
        </w:rPr>
        <w:t xml:space="preserve">(</w:t>
      </w:r>
      <w:r>
        <w:rPr>
          <w:color w:val="000000" w:themeColor="text1"/>
          <w:sz w:val="28"/>
          <w:szCs w:val="28"/>
          <w:highlight w:val="white"/>
        </w:rPr>
        <w:t xml:space="preserve">2 220 248,7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szCs w:val="28"/>
          <w:highlight w:val="white"/>
        </w:rPr>
        <w:t xml:space="preserve">тыс. руб.)                       и составляет 97,3 % к уточненному плану года (2 439 929,8 тыс. руб.)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7030a0" w:themeColor="text1"/>
          <w:sz w:val="28"/>
          <w:szCs w:val="28"/>
          <w:highlight w:val="none"/>
        </w:rPr>
      </w:r>
      <w:r>
        <w:rPr>
          <w:color w:val="7030a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color w:val="7030a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На перевы</w:t>
      </w:r>
      <w:r>
        <w:rPr>
          <w:color w:val="000000" w:themeColor="text1"/>
          <w:sz w:val="28"/>
          <w:szCs w:val="28"/>
          <w:highlight w:val="white"/>
        </w:rPr>
        <w:t xml:space="preserve">полнение плана отчетного пе</w:t>
      </w:r>
      <w:r>
        <w:rPr>
          <w:color w:val="000000" w:themeColor="text1"/>
          <w:sz w:val="28"/>
          <w:szCs w:val="28"/>
          <w:highlight w:val="white"/>
        </w:rPr>
        <w:t xml:space="preserve">риода повлияло поступление авансовых платежей по земельному налогу физических лиц по сроку уплаты 01 декабря 2025 года, а также увеличение ставки земельного налога с 01.01.2025 года с 0,3% до 1,5%                             в отношении земельных участков,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занятых жилищным фондом и (или) объектами инженерной инфраструктуры жилищно-коммунального комплекса,</w:t>
      </w:r>
      <w:r>
        <w:rPr>
          <w:color w:val="000000" w:themeColor="text1"/>
          <w:sz w:val="28"/>
          <w:szCs w:val="28"/>
          <w:highlight w:val="white"/>
        </w:rPr>
        <w:t xml:space="preserve"> кадастровая стоимость которых превышает 300,0 млн. руб. </w:t>
      </w:r>
      <w:r>
        <w:rPr>
          <w:color w:val="7030a0" w:themeColor="text1"/>
          <w:sz w:val="28"/>
          <w:szCs w:val="28"/>
          <w:highlight w:val="white"/>
          <w14:ligatures w14:val="none"/>
        </w:rPr>
      </w:r>
      <w:r>
        <w:rPr>
          <w:color w:val="7030a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iCs/>
          <w:color w:val="7030a0" w:themeColor="text1"/>
          <w:sz w:val="28"/>
          <w:szCs w:val="28"/>
          <w:highlight w:val="white"/>
        </w:rPr>
        <w:suppressLineNumbers w:val="0"/>
      </w:pPr>
      <w:r>
        <w:rPr>
          <w:iCs/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увеличились           на 11,5 %</w:t>
      </w:r>
      <w:r>
        <w:rPr>
          <w:iCs/>
          <w:color w:val="000000" w:themeColor="text1"/>
          <w:sz w:val="28"/>
          <w:szCs w:val="28"/>
          <w:highlight w:val="white"/>
        </w:rPr>
        <w:t xml:space="preserve">.</w:t>
      </w:r>
      <w:r>
        <w:rPr>
          <w:iCs/>
          <w:color w:val="7030a0" w:themeColor="text1"/>
          <w:sz w:val="28"/>
          <w:szCs w:val="28"/>
          <w:highlight w:val="white"/>
        </w:rPr>
      </w:r>
      <w:r>
        <w:rPr>
          <w:iCs/>
          <w:color w:val="7030a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color w:val="7030a0"/>
          <w:sz w:val="28"/>
          <w:szCs w:val="28"/>
          <w:highlight w:val="white"/>
        </w:rPr>
        <w:suppressLineNumbers w:val="0"/>
      </w:pPr>
      <w:r>
        <w:rPr>
          <w:iCs/>
          <w:color w:val="7030a0"/>
          <w:sz w:val="28"/>
          <w:szCs w:val="28"/>
          <w:highlight w:val="none"/>
        </w:rPr>
      </w:r>
      <w:r>
        <w:rPr>
          <w:color w:val="7030a0"/>
          <w:sz w:val="28"/>
          <w:szCs w:val="28"/>
          <w:highlight w:val="white"/>
        </w:rPr>
      </w:r>
      <w:r>
        <w:rPr>
          <w:color w:val="7030a0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7030a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Доходы, полу</w:t>
      </w:r>
      <w:r>
        <w:rPr>
          <w:b/>
          <w:color w:val="000000" w:themeColor="text1"/>
          <w:sz w:val="28"/>
          <w:szCs w:val="28"/>
          <w:highlight w:val="white"/>
        </w:rPr>
        <w:t xml:space="preserve">чаемые в виде арендной платы за земельные участки, государственная собственность на которые не разграничена, и которые расположены в границах городских округов, а также средства от продажи права на заключение договоров аренды указанных земельных участков, </w:t>
      </w:r>
      <w:r>
        <w:rPr>
          <w:rFonts w:eastAsia="Calibri"/>
          <w:i/>
          <w:color w:val="000000" w:themeColor="text1"/>
          <w:sz w:val="28"/>
          <w:szCs w:val="28"/>
          <w:highlight w:val="white"/>
        </w:rPr>
        <w:t xml:space="preserve">администри-руемые департаментом земельных отношений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</w:t>
      </w:r>
      <w:r>
        <w:rPr>
          <w:color w:val="000000" w:themeColor="text1"/>
          <w:sz w:val="28"/>
          <w:szCs w:val="28"/>
          <w:highlight w:val="white"/>
        </w:rPr>
        <w:t xml:space="preserve">452 959,2 тыс. руб., что на 23,4 % больше плана 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(367 142,0 тыс. руб.) </w:t>
      </w:r>
      <w:r>
        <w:rPr>
          <w:color w:val="000000" w:themeColor="text1"/>
          <w:sz w:val="28"/>
          <w:szCs w:val="28"/>
          <w:highlight w:val="white"/>
        </w:rPr>
        <w:t xml:space="preserve">и составляет 115,2 % к плану года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(3</w:t>
      </w:r>
      <w:r>
        <w:rPr>
          <w:color w:val="000000" w:themeColor="text1"/>
          <w:sz w:val="28"/>
          <w:szCs w:val="28"/>
          <w:highlight w:val="white"/>
        </w:rPr>
        <w:t xml:space="preserve">9</w:t>
      </w:r>
      <w:r>
        <w:rPr>
          <w:color w:val="000000" w:themeColor="text1"/>
          <w:sz w:val="28"/>
          <w:szCs w:val="28"/>
          <w:highlight w:val="white"/>
        </w:rPr>
        <w:t xml:space="preserve">3 350,3</w:t>
      </w:r>
      <w:r>
        <w:rPr>
          <w:color w:val="000000" w:themeColor="text1"/>
          <w:sz w:val="28"/>
          <w:szCs w:val="28"/>
          <w:highlight w:val="white"/>
        </w:rPr>
        <w:t xml:space="preserve"> тыс. </w:t>
      </w:r>
      <w:r>
        <w:rPr>
          <w:color w:val="000000" w:themeColor="text1"/>
          <w:sz w:val="28"/>
          <w:szCs w:val="28"/>
          <w:highlight w:val="white"/>
        </w:rPr>
        <w:t xml:space="preserve">ру</w:t>
      </w:r>
      <w:r>
        <w:rPr>
          <w:color w:val="000000" w:themeColor="text1"/>
          <w:sz w:val="28"/>
          <w:szCs w:val="28"/>
          <w:highlight w:val="white"/>
        </w:rPr>
        <w:t xml:space="preserve">б.)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7030a0" w:themeColor="text1"/>
          <w:sz w:val="28"/>
          <w:szCs w:val="28"/>
          <w:highlight w:val="white"/>
        </w:rPr>
      </w:r>
      <w:r>
        <w:rPr>
          <w:color w:val="7030a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7030a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по данному виду дохода увеличились на 38,6 % (на 126 152,5 тыс. руб.) </w:t>
      </w:r>
      <w:r>
        <w:rPr>
          <w:color w:val="000000" w:themeColor="text1"/>
          <w:sz w:val="28"/>
          <w:szCs w:val="28"/>
          <w:highlight w:val="white"/>
        </w:rPr>
        <w:t xml:space="preserve">за счет поступления средств от продажи права на заключение договоров аренды земельных участков                           на торгах. </w:t>
      </w:r>
      <w:r>
        <w:rPr>
          <w:color w:val="7030a0" w:themeColor="text1"/>
          <w:sz w:val="28"/>
          <w:szCs w:val="28"/>
          <w:highlight w:val="white"/>
        </w:rPr>
      </w:r>
      <w:r>
        <w:rPr>
          <w:color w:val="7030a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В том числе: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7030a0" w:themeColor="text1"/>
          <w:sz w:val="28"/>
          <w:szCs w:val="28"/>
          <w:highlight w:val="none"/>
        </w:rPr>
        <w:outlineLvl w:val="0"/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доходы от арендной платы за земельные участки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поступили в сумме </w:t>
      </w:r>
      <w:r>
        <w:rPr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245 549,6</w:t>
      </w:r>
      <w:r>
        <w:rPr>
          <w:color w:val="000000" w:themeColor="text1"/>
          <w:sz w:val="28"/>
          <w:szCs w:val="28"/>
          <w:highlight w:val="white"/>
        </w:rPr>
        <w:t xml:space="preserve"> тыс. руб., что составляет</w:t>
      </w:r>
      <w:r>
        <w:rPr>
          <w:color w:val="000000" w:themeColor="text1"/>
          <w:sz w:val="28"/>
          <w:szCs w:val="28"/>
          <w:highlight w:val="white"/>
        </w:rPr>
        <w:t xml:space="preserve"> 91,7 % от плана отчетного периода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267 900,0</w:t>
      </w:r>
      <w:r>
        <w:rPr>
          <w:color w:val="000000" w:themeColor="text1"/>
          <w:sz w:val="28"/>
          <w:szCs w:val="28"/>
          <w:highlight w:val="white"/>
        </w:rPr>
        <w:t xml:space="preserve"> тыс. руб.</w:t>
      </w:r>
      <w:r>
        <w:rPr>
          <w:color w:val="000000" w:themeColor="text1"/>
          <w:sz w:val="28"/>
          <w:szCs w:val="28"/>
          <w:highlight w:val="white"/>
        </w:rPr>
        <w:t xml:space="preserve">) </w:t>
      </w:r>
      <w:r>
        <w:rPr>
          <w:iCs/>
          <w:color w:val="000000" w:themeColor="text1"/>
          <w:sz w:val="28"/>
          <w:szCs w:val="28"/>
          <w:highlight w:val="white"/>
        </w:rPr>
        <w:t xml:space="preserve">и 83,8</w:t>
      </w:r>
      <w:r>
        <w:rPr>
          <w:color w:val="000000" w:themeColor="text1"/>
          <w:sz w:val="28"/>
          <w:szCs w:val="28"/>
          <w:highlight w:val="white"/>
        </w:rPr>
        <w:t xml:space="preserve"> %</w:t>
      </w:r>
      <w:r>
        <w:rPr>
          <w:iCs/>
          <w:color w:val="000000" w:themeColor="text1"/>
          <w:sz w:val="28"/>
          <w:szCs w:val="28"/>
          <w:highlight w:val="white"/>
        </w:rPr>
        <w:t xml:space="preserve"> к</w:t>
      </w:r>
      <w:r>
        <w:rPr>
          <w:color w:val="000000" w:themeColor="text1"/>
          <w:sz w:val="28"/>
          <w:szCs w:val="28"/>
          <w:highlight w:val="white"/>
        </w:rPr>
        <w:t xml:space="preserve"> плану года (</w:t>
      </w:r>
      <w:r>
        <w:rPr>
          <w:color w:val="000000" w:themeColor="text1"/>
          <w:sz w:val="28"/>
          <w:szCs w:val="28"/>
          <w:highlight w:val="white"/>
        </w:rPr>
        <w:t xml:space="preserve">293 156,2 тыс. руб.)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по данному виду дохода</w:t>
      </w:r>
      <w:r>
        <w:rPr>
          <w:color w:val="000000" w:themeColor="text1"/>
          <w:sz w:val="28"/>
          <w:szCs w:val="28"/>
          <w:highlight w:val="white"/>
        </w:rPr>
        <w:t xml:space="preserve"> у</w:t>
      </w:r>
      <w:r>
        <w:rPr>
          <w:color w:val="000000" w:themeColor="text1"/>
          <w:sz w:val="28"/>
          <w:szCs w:val="28"/>
          <w:highlight w:val="white"/>
        </w:rPr>
        <w:t xml:space="preserve">меньшились н</w:t>
      </w:r>
      <w:r>
        <w:rPr>
          <w:color w:val="000000" w:themeColor="text1"/>
          <w:sz w:val="28"/>
          <w:szCs w:val="28"/>
          <w:highlight w:val="white"/>
        </w:rPr>
        <w:t xml:space="preserve">а 14 450,0</w:t>
      </w:r>
      <w:r>
        <w:rPr>
          <w:color w:val="000000" w:themeColor="text1"/>
          <w:sz w:val="28"/>
          <w:szCs w:val="28"/>
          <w:highlight w:val="white"/>
        </w:rPr>
        <w:t xml:space="preserve"> тыс. руб. В течение года осуществлены возвраты денежных средств на сумму 10 245,2 тыс. руб.;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7030a0" w:themeColor="text1"/>
          <w:sz w:val="28"/>
          <w:szCs w:val="28"/>
          <w:highlight w:val="none"/>
        </w:rPr>
      </w:r>
      <w:r>
        <w:rPr>
          <w:color w:val="7030a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outlineLvl w:val="0"/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0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7030a0" w:themeColor="text1"/>
          <w:sz w:val="28"/>
          <w:szCs w:val="28"/>
          <w:highlight w:val="white"/>
        </w:rPr>
        <w:outlineLvl w:val="0"/>
        <w:suppressLineNumbers w:val="0"/>
      </w:pPr>
      <w:r>
        <w:rPr>
          <w:i/>
          <w:color w:val="000000" w:themeColor="text1"/>
          <w:sz w:val="28"/>
          <w:szCs w:val="28"/>
          <w:highlight w:val="none"/>
        </w:rPr>
        <w:tab/>
      </w:r>
      <w:r>
        <w:rPr>
          <w:i/>
          <w:color w:val="000000" w:themeColor="text1"/>
          <w:sz w:val="28"/>
          <w:szCs w:val="28"/>
          <w:highlight w:val="white"/>
        </w:rPr>
        <w:t xml:space="preserve">-</w:t>
      </w:r>
      <w:r>
        <w:rPr>
          <w:i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средства от реализации права на заключение договоров аренды земельных участков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207 409,6</w:t>
      </w:r>
      <w:r>
        <w:rPr>
          <w:color w:val="000000" w:themeColor="text1"/>
          <w:sz w:val="28"/>
          <w:szCs w:val="28"/>
          <w:highlight w:val="white"/>
        </w:rPr>
        <w:t xml:space="preserve"> тыс. </w:t>
      </w:r>
      <w:r>
        <w:rPr>
          <w:color w:val="000000" w:themeColor="text1"/>
          <w:sz w:val="28"/>
          <w:szCs w:val="28"/>
          <w:highlight w:val="white"/>
        </w:rPr>
        <w:t xml:space="preserve">руб.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что в 2,1 раза больше плана отчетного периода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99 242,0</w:t>
      </w:r>
      <w:r>
        <w:rPr>
          <w:color w:val="000000" w:themeColor="text1"/>
          <w:sz w:val="28"/>
          <w:szCs w:val="28"/>
          <w:highlight w:val="white"/>
        </w:rPr>
        <w:t xml:space="preserve"> тыс. руб.) </w:t>
      </w:r>
      <w:r>
        <w:rPr>
          <w:color w:val="000000" w:themeColor="text1"/>
          <w:sz w:val="28"/>
          <w:szCs w:val="28"/>
          <w:highlight w:val="white"/>
        </w:rPr>
        <w:t xml:space="preserve">и </w:t>
      </w:r>
      <w:r>
        <w:rPr>
          <w:color w:val="000000" w:themeColor="text1"/>
          <w:sz w:val="28"/>
          <w:szCs w:val="28"/>
          <w:highlight w:val="white"/>
        </w:rPr>
        <w:t xml:space="preserve">п</w:t>
      </w:r>
      <w:r>
        <w:rPr>
          <w:color w:val="000000" w:themeColor="text1"/>
          <w:sz w:val="28"/>
          <w:szCs w:val="28"/>
          <w:highlight w:val="white"/>
        </w:rPr>
        <w:t xml:space="preserve">лана года (100 194,1 тыс. руб.)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  <w:highlight w:val="white"/>
        </w:rPr>
        <w:t xml:space="preserve">Право                       на заключение договоров аренды земельных участков, предназначенных для ИЖС, реализуется с превышением начальной цены реализации. На </w:t>
      </w:r>
      <w:r>
        <w:rPr>
          <w:color w:val="000000" w:themeColor="text1"/>
          <w:sz w:val="28"/>
          <w:szCs w:val="28"/>
          <w:highlight w:val="white"/>
        </w:rPr>
        <w:t xml:space="preserve">перевыполнение плана также в значительной степени повлияло</w:t>
      </w:r>
      <w:r>
        <w:rPr>
          <w:color w:val="000000" w:themeColor="text1"/>
          <w:sz w:val="28"/>
          <w:szCs w:val="28"/>
          <w:highlight w:val="white"/>
        </w:rPr>
        <w:t xml:space="preserve"> поступление денежных средств по итогам аукци</w:t>
      </w:r>
      <w:r>
        <w:rPr>
          <w:color w:val="000000" w:themeColor="text1"/>
          <w:sz w:val="28"/>
          <w:szCs w:val="28"/>
          <w:highlight w:val="white"/>
        </w:rPr>
        <w:t xml:space="preserve">о</w:t>
      </w:r>
      <w:r>
        <w:rPr>
          <w:color w:val="000000" w:themeColor="text1"/>
          <w:sz w:val="28"/>
          <w:szCs w:val="28"/>
          <w:highlight w:val="white"/>
        </w:rPr>
        <w:t xml:space="preserve">на, на котором было реализовано право на заключение договоров аренды земельных участков для строительства объектов производственного и складского назначения, состоявшегося 26 декабря 2024 года, в сумме 29 201,2 тыс. руб. </w:t>
      </w:r>
      <w:r>
        <w:rPr>
          <w:color w:val="7030a0" w:themeColor="text1"/>
          <w:sz w:val="28"/>
          <w:szCs w:val="28"/>
          <w:highlight w:val="white"/>
        </w:rPr>
      </w:r>
      <w:r>
        <w:rPr>
          <w:color w:val="7030a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b/>
          <w:bCs/>
          <w:color w:val="7030a0"/>
          <w:sz w:val="28"/>
          <w:szCs w:val="28"/>
          <w:highlight w:val="white"/>
        </w:rPr>
        <w:suppressLineNumbers w:val="0"/>
      </w:pPr>
      <w:r>
        <w:rPr>
          <w:b/>
          <w:color w:val="7030a0"/>
          <w:sz w:val="28"/>
          <w:szCs w:val="28"/>
          <w:highlight w:val="white"/>
        </w:rPr>
      </w:r>
      <w:r>
        <w:rPr>
          <w:b/>
          <w:bCs/>
          <w:color w:val="7030a0"/>
          <w:sz w:val="28"/>
          <w:szCs w:val="28"/>
          <w:highlight w:val="white"/>
        </w:rPr>
      </w:r>
      <w:r>
        <w:rPr>
          <w:b/>
          <w:bCs/>
          <w:color w:val="7030a0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7030a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Доходы, получаемые в виде арендной платы </w:t>
      </w:r>
      <w:r>
        <w:rPr>
          <w:b/>
          <w:color w:val="000000" w:themeColor="text1"/>
          <w:sz w:val="28"/>
          <w:szCs w:val="28"/>
          <w:highlight w:val="white"/>
        </w:rPr>
        <w:t xml:space="preserve">за земли, находящиеся </w:t>
      </w:r>
      <w:r>
        <w:rPr>
          <w:b/>
          <w:color w:val="000000" w:themeColor="text1"/>
          <w:sz w:val="28"/>
          <w:szCs w:val="28"/>
          <w:highlight w:val="white"/>
        </w:rPr>
        <w:br/>
        <w:t xml:space="preserve">в собственности городских округов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b/>
          <w:color w:val="000000" w:themeColor="text1"/>
          <w:sz w:val="28"/>
          <w:szCs w:val="28"/>
          <w:highlight w:val="white"/>
        </w:rPr>
        <w:t xml:space="preserve"> а</w:t>
      </w:r>
      <w:r>
        <w:rPr>
          <w:b/>
          <w:color w:val="000000" w:themeColor="text1"/>
          <w:sz w:val="28"/>
          <w:szCs w:val="28"/>
          <w:highlight w:val="white"/>
        </w:rPr>
        <w:t xml:space="preserve"> также средства от продажи права на заключение договоров аренды указанных земельных участков, </w:t>
      </w:r>
      <w:r>
        <w:rPr>
          <w:rFonts w:eastAsia="Calibri"/>
          <w:i/>
          <w:color w:val="000000" w:themeColor="text1"/>
          <w:sz w:val="28"/>
          <w:szCs w:val="28"/>
          <w:highlight w:val="white"/>
        </w:rPr>
        <w:t xml:space="preserve">администри-</w:t>
      </w:r>
      <w:r>
        <w:rPr>
          <w:rFonts w:eastAsia="Calibri"/>
          <w:i/>
          <w:color w:val="000000" w:themeColor="text1"/>
          <w:sz w:val="28"/>
          <w:szCs w:val="28"/>
          <w:highlight w:val="white"/>
        </w:rPr>
        <w:t xml:space="preserve">руемые департаментом земельных отношений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</w:t>
      </w:r>
      <w:r>
        <w:rPr>
          <w:color w:val="000000" w:themeColor="text1"/>
          <w:sz w:val="28"/>
          <w:szCs w:val="28"/>
          <w:highlight w:val="white"/>
        </w:rPr>
        <w:t xml:space="preserve">89 445,3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составляет </w:t>
      </w:r>
      <w:r>
        <w:rPr>
          <w:color w:val="000000" w:themeColor="text1"/>
          <w:sz w:val="28"/>
          <w:szCs w:val="28"/>
          <w:highlight w:val="white"/>
        </w:rPr>
        <w:t xml:space="preserve">54,6</w:t>
      </w:r>
      <w:r>
        <w:rPr>
          <w:color w:val="000000" w:themeColor="text1"/>
          <w:sz w:val="28"/>
          <w:szCs w:val="28"/>
          <w:highlight w:val="white"/>
        </w:rPr>
        <w:t xml:space="preserve">%</w:t>
      </w:r>
      <w:r>
        <w:rPr>
          <w:color w:val="000000" w:themeColor="text1"/>
          <w:sz w:val="28"/>
          <w:szCs w:val="28"/>
          <w:highlight w:val="white"/>
        </w:rPr>
        <w:t xml:space="preserve"> к плану отчетного периода (163 805,2 тыс. руб.) и 52,8% к плану года </w:t>
      </w:r>
      <w:r>
        <w:rPr>
          <w:color w:val="000000" w:themeColor="text1"/>
          <w:sz w:val="28"/>
          <w:szCs w:val="28"/>
          <w:highlight w:val="white"/>
        </w:rPr>
        <w:t xml:space="preserve">(169 383,1 тыс. руб.). </w:t>
      </w:r>
      <w:r>
        <w:rPr>
          <w:color w:val="7030a0" w:themeColor="text1"/>
          <w:sz w:val="28"/>
          <w:szCs w:val="28"/>
          <w:highlight w:val="white"/>
        </w:rPr>
      </w:r>
      <w:r>
        <w:rPr>
          <w:color w:val="7030a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В том чи</w:t>
      </w:r>
      <w:r>
        <w:rPr>
          <w:color w:val="000000" w:themeColor="text1"/>
          <w:sz w:val="28"/>
          <w:szCs w:val="28"/>
          <w:highlight w:val="white"/>
        </w:rPr>
        <w:t xml:space="preserve">сле: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7030a0" w:themeColor="text1"/>
          <w:sz w:val="28"/>
          <w:szCs w:val="28"/>
          <w:highlight w:val="white"/>
        </w:rPr>
        <w:outlineLvl w:val="0"/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доходы от арендной платы за земельные участки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поступили в сумме </w:t>
      </w:r>
      <w:r>
        <w:rPr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76 751,3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в 1,6 раза</w:t>
      </w:r>
      <w:r>
        <w:rPr>
          <w:color w:val="000000" w:themeColor="text1"/>
          <w:sz w:val="28"/>
          <w:szCs w:val="28"/>
          <w:highlight w:val="white"/>
        </w:rPr>
        <w:t xml:space="preserve"> больше плана отчетного периода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47 996,0</w:t>
      </w:r>
      <w:r>
        <w:rPr>
          <w:color w:val="000000" w:themeColor="text1"/>
          <w:sz w:val="28"/>
          <w:szCs w:val="28"/>
          <w:highlight w:val="white"/>
        </w:rPr>
        <w:t xml:space="preserve"> тыс. </w:t>
      </w:r>
      <w:r>
        <w:rPr>
          <w:color w:val="000000" w:themeColor="text1"/>
          <w:sz w:val="28"/>
          <w:szCs w:val="28"/>
          <w:highlight w:val="white"/>
        </w:rPr>
        <w:t xml:space="preserve">руб.)                  и</w:t>
      </w:r>
      <w:r>
        <w:rPr>
          <w:color w:val="000000" w:themeColor="text1"/>
          <w:sz w:val="28"/>
          <w:szCs w:val="28"/>
          <w:highlight w:val="white"/>
        </w:rPr>
        <w:t xml:space="preserve"> в </w:t>
      </w:r>
      <w:r>
        <w:rPr>
          <w:color w:val="000000" w:themeColor="text1"/>
          <w:sz w:val="28"/>
          <w:szCs w:val="28"/>
          <w:highlight w:val="white"/>
        </w:rPr>
        <w:t xml:space="preserve">1,4 раза</w:t>
      </w:r>
      <w:r>
        <w:rPr>
          <w:color w:val="000000" w:themeColor="text1"/>
          <w:sz w:val="28"/>
          <w:szCs w:val="28"/>
          <w:highlight w:val="white"/>
        </w:rPr>
        <w:t xml:space="preserve"> больше плана года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53 573,9</w:t>
      </w:r>
      <w:r>
        <w:rPr>
          <w:color w:val="000000" w:themeColor="text1"/>
          <w:sz w:val="28"/>
          <w:szCs w:val="28"/>
          <w:highlight w:val="white"/>
        </w:rPr>
        <w:t xml:space="preserve"> тыс. </w:t>
      </w:r>
      <w:r>
        <w:rPr>
          <w:color w:val="000000" w:themeColor="text1"/>
          <w:sz w:val="28"/>
          <w:szCs w:val="28"/>
          <w:highlight w:val="white"/>
        </w:rPr>
        <w:t xml:space="preserve">руб.)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по данному виду дох</w:t>
      </w:r>
      <w:r>
        <w:rPr>
          <w:color w:val="000000" w:themeColor="text1"/>
          <w:sz w:val="28"/>
          <w:szCs w:val="28"/>
          <w:highlight w:val="white"/>
        </w:rPr>
        <w:t xml:space="preserve">ода</w:t>
      </w:r>
      <w:r>
        <w:rPr>
          <w:color w:val="000000" w:themeColor="text1"/>
          <w:sz w:val="28"/>
          <w:szCs w:val="28"/>
          <w:highlight w:val="white"/>
        </w:rPr>
        <w:t xml:space="preserve"> увеличились                              </w:t>
      </w:r>
      <w:r>
        <w:rPr>
          <w:color w:val="000000" w:themeColor="text1"/>
          <w:sz w:val="28"/>
          <w:szCs w:val="28"/>
          <w:highlight w:val="white"/>
        </w:rPr>
        <w:t xml:space="preserve">на 38 699,8,8</w:t>
      </w:r>
      <w:r>
        <w:rPr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П</w:t>
      </w:r>
      <w:r>
        <w:rPr>
          <w:color w:val="000000" w:themeColor="text1"/>
          <w:sz w:val="28"/>
          <w:szCs w:val="28"/>
          <w:highlight w:val="none"/>
        </w:rPr>
        <w:t xml:space="preserve">еревыполнение </w:t>
      </w:r>
      <w:r>
        <w:rPr>
          <w:color w:val="000000" w:themeColor="text1"/>
          <w:sz w:val="28"/>
          <w:szCs w:val="28"/>
          <w:highlight w:val="none"/>
        </w:rPr>
        <w:t xml:space="preserve">плана отчетного период</w:t>
      </w:r>
      <w:r>
        <w:rPr>
          <w:color w:val="000000" w:themeColor="text1"/>
          <w:sz w:val="28"/>
          <w:szCs w:val="28"/>
          <w:highlight w:val="none"/>
        </w:rPr>
        <w:t xml:space="preserve">а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обусловлено </w:t>
      </w:r>
      <w:r>
        <w:rPr>
          <w:color w:val="000000" w:themeColor="text1"/>
          <w:sz w:val="28"/>
          <w:szCs w:val="28"/>
          <w:highlight w:val="none"/>
        </w:rPr>
        <w:t xml:space="preserve">заключением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новых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до</w:t>
      </w:r>
      <w:r>
        <w:rPr>
          <w:color w:val="000000" w:themeColor="text1"/>
          <w:sz w:val="28"/>
          <w:szCs w:val="28"/>
          <w:highlight w:val="none"/>
        </w:rPr>
        <w:t xml:space="preserve">говоров аренды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7030a0" w:themeColor="text1"/>
          <w:sz w:val="28"/>
          <w:szCs w:val="28"/>
          <w:highlight w:val="white"/>
        </w:rPr>
      </w:r>
      <w:r>
        <w:rPr>
          <w:color w:val="7030a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7030a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-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средства от продажи права на заключение договоров аренды 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земельных участков, находящихся в муниципальной собственности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поступили в сумме 12 694,0 тыс. руб., что на 89,0 % меньше </w:t>
      </w:r>
      <w:r>
        <w:rPr>
          <w:color w:val="000000" w:themeColor="text1"/>
          <w:sz w:val="28"/>
          <w:szCs w:val="28"/>
          <w:highlight w:val="white"/>
        </w:rPr>
        <w:t xml:space="preserve">плана отчетного период</w:t>
      </w:r>
      <w:r>
        <w:rPr>
          <w:color w:val="000000" w:themeColor="text1"/>
          <w:sz w:val="28"/>
          <w:szCs w:val="28"/>
          <w:highlight w:val="white"/>
        </w:rPr>
        <w:t xml:space="preserve"> и </w:t>
      </w:r>
      <w:r>
        <w:rPr>
          <w:color w:val="000000" w:themeColor="text1"/>
          <w:sz w:val="28"/>
          <w:szCs w:val="28"/>
          <w:highlight w:val="white"/>
        </w:rPr>
        <w:t xml:space="preserve">плана года </w:t>
      </w:r>
      <w:r>
        <w:rPr>
          <w:color w:val="000000" w:themeColor="text1"/>
          <w:sz w:val="28"/>
          <w:szCs w:val="28"/>
          <w:highlight w:val="white"/>
        </w:rPr>
        <w:t xml:space="preserve">(115 809,2 тыс.руб.). </w:t>
      </w:r>
      <w:r>
        <w:rPr>
          <w:color w:val="000000" w:themeColor="text1"/>
          <w:sz w:val="28"/>
          <w:szCs w:val="28"/>
          <w:highlight w:val="white"/>
        </w:rPr>
        <w:t xml:space="preserve">Неисполнение кассового плана обусловлено выбытием                                 из арендного фонда земельного уч</w:t>
      </w:r>
      <w:r>
        <w:rPr>
          <w:color w:val="000000" w:themeColor="text1"/>
          <w:sz w:val="28"/>
          <w:szCs w:val="28"/>
          <w:highlight w:val="white"/>
        </w:rPr>
        <w:t xml:space="preserve">астка, распо</w:t>
      </w:r>
      <w:r>
        <w:rPr>
          <w:color w:val="000000" w:themeColor="text1"/>
          <w:sz w:val="28"/>
          <w:szCs w:val="28"/>
          <w:highlight w:val="white"/>
        </w:rPr>
        <w:t xml:space="preserve">ложенного по адресу ул. Магистральная, 86б, предоставленного под строительство жилого комплекса. В июле 2025 года осуществлена государственная регистрация общедолевой собственности на объекты недвижимости, расположенные </w:t>
      </w:r>
      <w:r>
        <w:rPr>
          <w:color w:val="000000" w:themeColor="text1"/>
          <w:sz w:val="28"/>
          <w:szCs w:val="28"/>
          <w:highlight w:val="white"/>
        </w:rPr>
        <w:t xml:space="preserve">в многоквартирном доме. </w:t>
      </w:r>
      <w:r>
        <w:rPr>
          <w:color w:val="000000" w:themeColor="text1"/>
          <w:sz w:val="28"/>
          <w:szCs w:val="28"/>
          <w:highlight w:val="white"/>
        </w:rPr>
        <w:t xml:space="preserve">Кроме того, запланированная в 2025 году реализация на аукционе права аренды земельного участка                                       по ул. Зюкайская, 5 - Газонная, 21 переносится на 2026 год.</w:t>
      </w:r>
      <w:r>
        <w:rPr>
          <w:color w:val="7030a0" w:themeColor="text1"/>
          <w:sz w:val="28"/>
          <w:szCs w:val="28"/>
          <w:highlight w:val="white"/>
        </w:rPr>
      </w:r>
      <w:r>
        <w:rPr>
          <w:color w:val="7030a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567"/>
        <w:jc w:val="both"/>
        <w:spacing w:before="0" w:after="0" w:line="240" w:lineRule="auto"/>
        <w:tabs>
          <w:tab w:val="left" w:pos="709" w:leader="none"/>
        </w:tabs>
        <w:rPr>
          <w:rFonts w:eastAsia="Calibri"/>
          <w:color w:val="7030a0"/>
          <w:sz w:val="28"/>
          <w:szCs w:val="28"/>
          <w:highlight w:val="yellow"/>
        </w:rPr>
        <w:outlineLvl w:val="0"/>
        <w:suppressLineNumbers w:val="0"/>
      </w:pPr>
      <w:r>
        <w:rPr>
          <w:rFonts w:eastAsia="Calibri"/>
          <w:color w:val="7030a0"/>
          <w:sz w:val="28"/>
          <w:szCs w:val="28"/>
          <w:highlight w:val="yellow"/>
        </w:rPr>
      </w:r>
      <w:r>
        <w:rPr>
          <w:rFonts w:eastAsia="Calibri"/>
          <w:color w:val="7030a0"/>
          <w:sz w:val="28"/>
          <w:szCs w:val="28"/>
          <w:highlight w:val="yellow"/>
        </w:rPr>
      </w:r>
      <w:r>
        <w:rPr>
          <w:rFonts w:eastAsia="Calibri"/>
          <w:color w:val="7030a0"/>
          <w:sz w:val="28"/>
          <w:szCs w:val="28"/>
          <w:highlight w:val="yellow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tabs>
          <w:tab w:val="left" w:pos="709" w:leader="none"/>
        </w:tabs>
        <w:rPr>
          <w:rFonts w:eastAsia="Calibri"/>
          <w:color w:val="7030a0" w:themeColor="text1"/>
          <w:sz w:val="28"/>
          <w:szCs w:val="28"/>
          <w:highlight w:val="none"/>
        </w:rPr>
        <w:outlineLvl w:val="0"/>
        <w:suppressLineNumbers w:val="0"/>
      </w:pPr>
      <w:r>
        <w:rPr>
          <w:rFonts w:eastAsia="Calibri"/>
          <w:b/>
          <w:color w:val="7030a0"/>
          <w:sz w:val="28"/>
          <w:szCs w:val="28"/>
          <w:highlight w:val="none"/>
        </w:rPr>
        <w:tab/>
      </w:r>
      <w:r>
        <w:rPr>
          <w:rFonts w:eastAsia="Calibri"/>
          <w:b/>
          <w:color w:val="000000" w:themeColor="text1"/>
          <w:sz w:val="28"/>
          <w:szCs w:val="28"/>
          <w:highlight w:val="white"/>
        </w:rPr>
        <w:t xml:space="preserve">Доходы от сдачи в аренду муниципального имущества, </w:t>
      </w:r>
      <w:r>
        <w:rPr>
          <w:rFonts w:eastAsia="Calibri"/>
          <w:i/>
          <w:color w:val="000000" w:themeColor="text1"/>
          <w:sz w:val="28"/>
          <w:szCs w:val="28"/>
          <w:highlight w:val="white"/>
        </w:rPr>
        <w:t xml:space="preserve">администрируемые </w:t>
      </w:r>
      <w:r>
        <w:rPr>
          <w:rFonts w:eastAsia="Calibri"/>
          <w:i/>
          <w:color w:val="000000" w:themeColor="text1"/>
          <w:sz w:val="28"/>
          <w:szCs w:val="28"/>
          <w:highlight w:val="white"/>
        </w:rPr>
        <w:t xml:space="preserve">департаментом имущественных отношений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 поступили в сумме 66</w:t>
      </w:r>
      <w:r>
        <w:rPr>
          <w:rFonts w:eastAsia="Calibri"/>
          <w:color w:val="000000" w:themeColor="text1"/>
          <w:sz w:val="28"/>
          <w:szCs w:val="28"/>
          <w:highlight w:val="white"/>
          <w:lang w:val="en-US"/>
        </w:rPr>
        <w:t xml:space="preserve"> 345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,0 тыс. руб., что составляет 99,6 % к плану отчетного периода (66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 6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00,0 тыс. руб.) и 81,9 % к плану года (80 987,0 тыс. руб.).</w:t>
      </w:r>
      <w:r>
        <w:rPr>
          <w:rFonts w:eastAsia="Calibri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eastAsia="Calibri"/>
          <w:color w:val="7030a0" w:themeColor="text1"/>
          <w:sz w:val="28"/>
          <w:szCs w:val="28"/>
          <w:highlight w:val="none"/>
        </w:rPr>
      </w:r>
      <w:r>
        <w:rPr>
          <w:rFonts w:eastAsia="Calibri"/>
          <w:color w:val="7030a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7030a0" w:themeColor="text1"/>
          <w:sz w:val="28"/>
          <w:szCs w:val="28"/>
          <w:highlight w:val="white"/>
        </w:rPr>
        <w:outlineLvl w:val="0"/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по данному виду дох</w:t>
      </w:r>
      <w:r>
        <w:rPr>
          <w:color w:val="000000" w:themeColor="text1"/>
          <w:sz w:val="28"/>
          <w:szCs w:val="28"/>
          <w:highlight w:val="white"/>
        </w:rPr>
        <w:t xml:space="preserve">ода составили 99,1 %.</w:t>
      </w:r>
      <w:r>
        <w:rPr>
          <w:color w:val="7030a0" w:themeColor="text1"/>
          <w:sz w:val="28"/>
          <w:szCs w:val="28"/>
          <w:highlight w:val="white"/>
        </w:rPr>
      </w:r>
      <w:r>
        <w:rPr>
          <w:color w:val="7030a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7030a0"/>
          <w:sz w:val="28"/>
          <w:szCs w:val="28"/>
          <w:highlight w:val="yellow"/>
        </w:rPr>
        <w:suppressLineNumbers w:val="0"/>
      </w:pPr>
      <w:r>
        <w:rPr>
          <w:color w:val="7030a0"/>
          <w:sz w:val="28"/>
          <w:szCs w:val="28"/>
          <w:highlight w:val="yellow"/>
        </w:rPr>
      </w:r>
      <w:r>
        <w:rPr>
          <w:color w:val="7030a0"/>
          <w:sz w:val="28"/>
          <w:szCs w:val="28"/>
          <w:highlight w:val="yellow"/>
        </w:rPr>
      </w:r>
      <w:r>
        <w:rPr>
          <w:color w:val="7030a0"/>
          <w:sz w:val="28"/>
          <w:szCs w:val="28"/>
          <w:highlight w:val="yellow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900" w:leader="none"/>
        </w:tabs>
        <w:rPr>
          <w:color w:val="7030a0" w:themeColor="text1"/>
          <w:sz w:val="28"/>
          <w:szCs w:val="28"/>
          <w:highlight w:val="white"/>
        </w:rPr>
        <w:suppressLineNumbers w:val="0"/>
      </w:pPr>
      <w:r>
        <w:rPr>
          <w:b/>
          <w:bCs/>
          <w:color w:val="7030a0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П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рочие доходы от использования имущества и прав, находящихся                              в государственной и муниципальной собственности (за исключением имущества бюджетных и автономных учреждений, а также имущества государственных                   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и муниципальных унитарных предприятий, в том числе ка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зенных)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поступили                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сумме 176 247,8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тыс. руб., что составляет 117,4 % от плана отчетного периода                    (150 160,0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тыс. руб.) и 94,8 % от плана года (185 836,2 тыс. руб.).</w:t>
      </w:r>
      <w:r>
        <w:rPr>
          <w:color w:val="7030a0" w:themeColor="text1"/>
          <w:sz w:val="28"/>
          <w:szCs w:val="28"/>
          <w:highlight w:val="white"/>
        </w:rPr>
      </w:r>
      <w:r>
        <w:rPr>
          <w:color w:val="7030a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900" w:leader="none"/>
        </w:tabs>
        <w:rPr>
          <w:color w:val="7030a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В</w:t>
      </w:r>
      <w:r>
        <w:rPr>
          <w:color w:val="000000" w:themeColor="text1"/>
          <w:sz w:val="28"/>
          <w:szCs w:val="28"/>
          <w:highlight w:val="white"/>
        </w:rPr>
        <w:t xml:space="preserve"> том числе:</w:t>
      </w:r>
      <w:r>
        <w:rPr>
          <w:color w:val="7030a0" w:themeColor="text1"/>
          <w:sz w:val="28"/>
          <w:szCs w:val="28"/>
          <w:highlight w:val="white"/>
        </w:rPr>
      </w:r>
      <w:r>
        <w:rPr>
          <w:color w:val="7030a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900" w:leader="none"/>
        </w:tabs>
        <w:rPr>
          <w:color w:val="7030a0" w:themeColor="text1"/>
          <w:sz w:val="28"/>
          <w:szCs w:val="28"/>
          <w:highlight w:val="white"/>
        </w:rPr>
        <w:suppressLineNumbers w:val="0"/>
      </w:pPr>
      <w:r>
        <w:rPr>
          <w:b/>
          <w:i w:val="0"/>
          <w:iCs w:val="0"/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i/>
          <w:iCs/>
          <w:color w:val="000000" w:themeColor="text1"/>
          <w:sz w:val="28"/>
          <w:szCs w:val="28"/>
          <w:highlight w:val="white"/>
        </w:rPr>
        <w:t xml:space="preserve">доходы по дого</w:t>
      </w:r>
      <w:r>
        <w:rPr>
          <w:b/>
          <w:i/>
          <w:iCs/>
          <w:color w:val="000000" w:themeColor="text1"/>
          <w:sz w:val="28"/>
          <w:szCs w:val="28"/>
          <w:highlight w:val="white"/>
        </w:rPr>
        <w:t xml:space="preserve">ворам на размещение рекламных конструкций</w:t>
      </w:r>
      <w:r>
        <w:rPr>
          <w:i/>
          <w:iCs/>
          <w:color w:val="000000" w:themeColor="text1"/>
          <w:sz w:val="28"/>
          <w:szCs w:val="28"/>
          <w:highlight w:val="white"/>
        </w:rPr>
        <w:t xml:space="preserve">, </w:t>
      </w:r>
      <w:r>
        <w:rPr>
          <w:i/>
          <w:color w:val="000000" w:themeColor="text1"/>
          <w:sz w:val="28"/>
          <w:szCs w:val="28"/>
          <w:highlight w:val="white"/>
        </w:rPr>
        <w:t xml:space="preserve">администри-руемые департаментом экономики и промышленной политики</w:t>
      </w:r>
      <w:r>
        <w:rPr>
          <w:color w:val="000000" w:themeColor="text1"/>
          <w:sz w:val="28"/>
          <w:szCs w:val="28"/>
          <w:highlight w:val="white"/>
        </w:rPr>
        <w:t xml:space="preserve">, поступили в сумме</w:t>
      </w:r>
      <w:r>
        <w:rPr>
          <w:color w:val="000000" w:themeColor="text1"/>
          <w:sz w:val="28"/>
          <w:szCs w:val="28"/>
          <w:highlight w:val="white"/>
        </w:rPr>
        <w:t xml:space="preserve">        </w:t>
      </w:r>
      <w:r>
        <w:rPr>
          <w:color w:val="000000" w:themeColor="text1"/>
          <w:sz w:val="28"/>
          <w:szCs w:val="28"/>
          <w:highlight w:val="white"/>
        </w:rPr>
        <w:t xml:space="preserve">102 495,3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в 1,2 раза превышает </w:t>
      </w:r>
      <w:r>
        <w:rPr>
          <w:color w:val="000000" w:themeColor="text1"/>
          <w:sz w:val="28"/>
          <w:szCs w:val="28"/>
          <w:highlight w:val="white"/>
        </w:rPr>
        <w:t xml:space="preserve">план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отчетного периода </w:t>
      </w:r>
      <w:r>
        <w:rPr>
          <w:color w:val="000000" w:themeColor="text1"/>
          <w:sz w:val="28"/>
          <w:szCs w:val="28"/>
          <w:highlight w:val="white"/>
        </w:rPr>
        <w:t xml:space="preserve">(83 947,6</w:t>
      </w:r>
      <w:r>
        <w:rPr>
          <w:color w:val="000000" w:themeColor="text1"/>
          <w:sz w:val="28"/>
          <w:szCs w:val="28"/>
          <w:highlight w:val="white"/>
        </w:rPr>
        <w:t xml:space="preserve">               тыс. руб.) </w:t>
      </w:r>
      <w:r>
        <w:rPr>
          <w:color w:val="000000" w:themeColor="text1"/>
          <w:sz w:val="28"/>
          <w:szCs w:val="28"/>
          <w:highlight w:val="white"/>
        </w:rPr>
        <w:t xml:space="preserve">и составляет 97,9 % к плану года (104 746,7 тыс. руб.). </w:t>
      </w:r>
      <w:r>
        <w:rPr>
          <w:color w:val="000000" w:themeColor="text1"/>
          <w:sz w:val="28"/>
          <w:szCs w:val="28"/>
          <w:highlight w:val="white"/>
        </w:rPr>
        <w:t xml:space="preserve">Перевыполнение плана обусловлено, в основном, поступлением по итогам состоявшихся торгов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7030a0" w:themeColor="text1"/>
          <w:sz w:val="28"/>
          <w:szCs w:val="28"/>
          <w:highlight w:val="white"/>
        </w:rPr>
      </w:r>
      <w:r>
        <w:rPr>
          <w:color w:val="7030a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7030a0" w:themeColor="text1"/>
          <w:sz w:val="28"/>
          <w:szCs w:val="28"/>
          <w:highlight w:val="white"/>
        </w:rPr>
        <w:suppressLineNumbers w:val="0"/>
      </w:pPr>
      <w:r>
        <w:rPr>
          <w:b/>
          <w:i w:val="0"/>
          <w:iCs w:val="0"/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i/>
          <w:iCs/>
          <w:color w:val="000000" w:themeColor="text1"/>
          <w:sz w:val="28"/>
          <w:szCs w:val="28"/>
          <w:highlight w:val="white"/>
        </w:rPr>
        <w:t xml:space="preserve">доходы по договорам на размещение нестационарных объектов</w:t>
      </w:r>
      <w:r>
        <w:rPr>
          <w:i/>
          <w:iCs/>
          <w:color w:val="000000" w:themeColor="text1"/>
          <w:sz w:val="28"/>
          <w:szCs w:val="28"/>
          <w:highlight w:val="white"/>
        </w:rPr>
        <w:t xml:space="preserve">, </w:t>
      </w:r>
      <w:r>
        <w:rPr>
          <w:i/>
          <w:color w:val="000000" w:themeColor="text1"/>
          <w:sz w:val="28"/>
          <w:szCs w:val="28"/>
          <w:highlight w:val="white"/>
        </w:rPr>
        <w:t xml:space="preserve">админист-рируемые департаментом экономики и промышленной политики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поступили в сумм</w:t>
      </w:r>
      <w:r>
        <w:rPr>
          <w:color w:val="000000" w:themeColor="text1"/>
          <w:sz w:val="28"/>
          <w:szCs w:val="28"/>
          <w:highlight w:val="white"/>
        </w:rPr>
        <w:t xml:space="preserve">е</w:t>
      </w:r>
      <w:r>
        <w:rPr>
          <w:color w:val="000000" w:themeColor="text1"/>
          <w:sz w:val="28"/>
          <w:szCs w:val="28"/>
          <w:highlight w:val="white"/>
        </w:rPr>
        <w:t xml:space="preserve"> 13 867,6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в 1,5 раза превышает план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отчетного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периода</w:t>
      </w:r>
      <w:r>
        <w:rPr>
          <w:color w:val="000000" w:themeColor="text1"/>
          <w:sz w:val="28"/>
          <w:szCs w:val="28"/>
          <w:highlight w:val="white"/>
        </w:rPr>
        <w:t xml:space="preserve"> (8 983,3</w:t>
      </w:r>
      <w:r>
        <w:rPr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color w:val="000000" w:themeColor="text1"/>
          <w:sz w:val="28"/>
          <w:szCs w:val="28"/>
          <w:highlight w:val="white"/>
        </w:rPr>
        <w:t xml:space="preserve">) и составляет 125,5 % к плану года (11 046,9 тыс. руб.). </w:t>
      </w:r>
      <w:r>
        <w:rPr>
          <w:color w:val="7030a0" w:themeColor="text1"/>
          <w:sz w:val="28"/>
          <w:szCs w:val="28"/>
          <w:highlight w:val="white"/>
        </w:rPr>
      </w:r>
      <w:r>
        <w:rPr>
          <w:color w:val="7030a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7030a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Перевыполнение плана обусловлено поступлением авансовых платежей, а также задолженности по договорам на размещение нестационарных торговых объектов.</w:t>
      </w:r>
      <w:r>
        <w:rPr>
          <w:color w:val="7030a0" w:themeColor="text1"/>
          <w:sz w:val="28"/>
          <w:szCs w:val="28"/>
          <w:highlight w:val="none"/>
        </w:rPr>
      </w:r>
      <w:r>
        <w:rPr>
          <w:color w:val="7030a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7030a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7030a0" w:themeColor="text1"/>
          <w:sz w:val="28"/>
          <w:szCs w:val="28"/>
          <w:highlight w:val="white"/>
        </w:rPr>
      </w:r>
      <w:r>
        <w:rPr>
          <w:color w:val="7030a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7030a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  <w:t xml:space="preserve">Платежи при пользовании природными ресурсами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</w:t>
      </w:r>
      <w:r>
        <w:rPr>
          <w:color w:val="000000" w:themeColor="text1"/>
          <w:sz w:val="28"/>
          <w:szCs w:val="28"/>
          <w:highlight w:val="white"/>
        </w:rPr>
        <w:br/>
        <w:t xml:space="preserve">58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 632,1 </w:t>
      </w:r>
      <w:r>
        <w:rPr>
          <w:color w:val="000000" w:themeColor="text1"/>
          <w:sz w:val="28"/>
          <w:szCs w:val="28"/>
          <w:highlight w:val="white"/>
        </w:rPr>
        <w:t xml:space="preserve">тыс. руб.,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что в 1,2 раза превышает план отчетного периода (50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 575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,5                     тыс. руб.) и </w:t>
      </w:r>
      <w:r>
        <w:rPr>
          <w:color w:val="000000" w:themeColor="text1"/>
          <w:sz w:val="28"/>
          <w:szCs w:val="28"/>
          <w:highlight w:val="white"/>
        </w:rPr>
        <w:t xml:space="preserve">составляет 114,8 % к плану года (51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 </w:t>
      </w:r>
      <w:r>
        <w:rPr>
          <w:color w:val="000000" w:themeColor="text1"/>
          <w:sz w:val="28"/>
          <w:szCs w:val="28"/>
          <w:highlight w:val="white"/>
        </w:rPr>
        <w:t xml:space="preserve">086,0 тыс. руб.)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В</w:t>
      </w:r>
      <w:r>
        <w:rPr>
          <w:color w:val="000000" w:themeColor="text1"/>
          <w:sz w:val="28"/>
          <w:szCs w:val="28"/>
          <w:highlight w:val="white"/>
        </w:rPr>
        <w:t xml:space="preserve"> том числе:</w:t>
      </w:r>
      <w:r>
        <w:rPr>
          <w:color w:val="7030a0" w:themeColor="text1"/>
          <w:sz w:val="28"/>
          <w:szCs w:val="28"/>
          <w:highlight w:val="white"/>
        </w:rPr>
      </w:r>
      <w:r>
        <w:rPr>
          <w:color w:val="7030a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7030a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плата за негативное воздействие на окружающую среду, </w:t>
      </w:r>
      <w:r>
        <w:rPr>
          <w:i/>
          <w:color w:val="000000" w:themeColor="text1"/>
          <w:sz w:val="28"/>
          <w:szCs w:val="28"/>
          <w:highlight w:val="white"/>
        </w:rPr>
        <w:t xml:space="preserve">администрируемая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i/>
          <w:color w:val="000000" w:themeColor="text1"/>
          <w:sz w:val="28"/>
          <w:szCs w:val="28"/>
          <w:highlight w:val="white"/>
        </w:rPr>
        <w:t xml:space="preserve">Западно-Уральским межрегиональным управлением </w:t>
      </w:r>
      <w:r>
        <w:rPr>
          <w:i/>
          <w:color w:val="000000" w:themeColor="text1"/>
          <w:sz w:val="28"/>
          <w:szCs w:val="28"/>
          <w:highlight w:val="white"/>
        </w:rPr>
        <w:t xml:space="preserve">Росприроднадзора,</w:t>
      </w:r>
      <w:r>
        <w:rPr>
          <w:color w:val="000000" w:themeColor="text1"/>
          <w:sz w:val="28"/>
          <w:szCs w:val="28"/>
          <w:highlight w:val="white"/>
        </w:rPr>
        <w:t xml:space="preserve"> поступила                   в сумме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55 778,5</w:t>
      </w:r>
      <w:r>
        <w:rPr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что в 1,2 раза превышает план отчетного периода и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план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года (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47 </w:t>
      </w:r>
      <w:r>
        <w:rPr>
          <w:color w:val="000000" w:themeColor="text1"/>
          <w:sz w:val="28"/>
          <w:szCs w:val="28"/>
          <w:highlight w:val="white"/>
        </w:rPr>
        <w:t xml:space="preserve">99</w:t>
      </w:r>
      <w:r>
        <w:rPr>
          <w:color w:val="000000" w:themeColor="text1"/>
          <w:sz w:val="28"/>
          <w:szCs w:val="28"/>
          <w:highlight w:val="white"/>
        </w:rPr>
        <w:t xml:space="preserve">7,3 т</w:t>
      </w:r>
      <w:r>
        <w:rPr>
          <w:color w:val="000000" w:themeColor="text1"/>
          <w:sz w:val="28"/>
          <w:szCs w:val="28"/>
          <w:highlight w:val="white"/>
        </w:rPr>
        <w:t xml:space="preserve">ыс. руб.)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Перевыполнение плана отчетного периода обусловлено </w:t>
      </w:r>
      <w:r>
        <w:rPr>
          <w:color w:val="000000" w:themeColor="text1"/>
          <w:sz w:val="28"/>
          <w:szCs w:val="28"/>
          <w:highlight w:val="white"/>
        </w:rPr>
        <w:t xml:space="preserve">перечислен</w:t>
      </w:r>
      <w:r>
        <w:rPr>
          <w:color w:val="000000" w:themeColor="text1"/>
          <w:sz w:val="28"/>
          <w:szCs w:val="28"/>
          <w:highlight w:val="white"/>
        </w:rPr>
        <w:t xml:space="preserve">иями крупнейших плательщиков по представленным декларациям </w:t>
      </w:r>
      <w:r>
        <w:rPr>
          <w:color w:val="000000" w:themeColor="text1"/>
          <w:sz w:val="28"/>
          <w:szCs w:val="28"/>
          <w:highlight w:val="white"/>
        </w:rPr>
        <w:t xml:space="preserve">за 2024 год </w:t>
      </w:r>
      <w:r>
        <w:rPr>
          <w:color w:val="000000" w:themeColor="text1"/>
          <w:sz w:val="28"/>
          <w:szCs w:val="28"/>
          <w:highlight w:val="white"/>
        </w:rPr>
        <w:t xml:space="preserve">за сброс загрязняющих веществ с применением сверхлимитного повышающего коэффициента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7030a0" w:themeColor="text1"/>
          <w:sz w:val="28"/>
          <w:szCs w:val="28"/>
          <w:highlight w:val="white"/>
          <w14:ligatures w14:val="none"/>
        </w:rPr>
      </w:r>
      <w:r>
        <w:rPr>
          <w:color w:val="7030a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7030a0" w:themeColor="text1"/>
          <w:sz w:val="28"/>
          <w:szCs w:val="28"/>
          <w:highlight w:val="none"/>
        </w:rPr>
        <w:outlineLvl w:val="0"/>
        <w:suppressLineNumbers w:val="0"/>
      </w:pP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- </w:t>
      </w:r>
      <w:r>
        <w:rPr>
          <w:rFonts w:eastAsia="Calibri"/>
          <w:b/>
          <w:bCs/>
          <w:i/>
          <w:color w:val="000000" w:themeColor="text1"/>
          <w:sz w:val="28"/>
          <w:szCs w:val="28"/>
          <w:highlight w:val="white"/>
        </w:rPr>
        <w:t xml:space="preserve">плата за использование лесов,</w:t>
      </w:r>
      <w:r>
        <w:rPr>
          <w:rFonts w:eastAsia="Calibri"/>
          <w:i/>
          <w:color w:val="000000" w:themeColor="text1"/>
          <w:sz w:val="28"/>
          <w:szCs w:val="28"/>
          <w:highlight w:val="white"/>
        </w:rPr>
        <w:t xml:space="preserve"> администрируемая управлением по экологии                 и природопользованию,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поступила в сумме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2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 853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,6 тыс. руб.,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что составляет 110,7 %                  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плану отчетного периода (2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 578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,2 тыс. руб.)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и 92,4 % к плану года (3 088,7 тыс. руб.).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rFonts w:eastAsia="Calibri"/>
          <w:bCs/>
          <w:color w:val="000000" w:themeColor="text1"/>
          <w:sz w:val="28"/>
          <w:szCs w:val="28"/>
        </w:rPr>
        <w:t xml:space="preserve">Перевыполнение плана обусловлено заключением новых договоров аренды лесных участков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7030a0" w:themeColor="text1"/>
          <w:sz w:val="28"/>
          <w:szCs w:val="28"/>
          <w:highlight w:val="none"/>
        </w:rPr>
      </w:r>
      <w:r>
        <w:rPr>
          <w:color w:val="7030a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7030a0" w:themeColor="text1"/>
          <w:sz w:val="28"/>
          <w:szCs w:val="28"/>
          <w:highlight w:val="yellow"/>
        </w:rPr>
        <w:suppressLineNumbers w:val="0"/>
      </w:pPr>
      <w:r>
        <w:rPr>
          <w:color w:val="000000" w:themeColor="text1"/>
          <w:sz w:val="28"/>
          <w:szCs w:val="28"/>
          <w:highlight w:val="yellow"/>
        </w:rPr>
      </w:r>
      <w:r>
        <w:rPr>
          <w:color w:val="7030a0" w:themeColor="text1"/>
          <w:sz w:val="28"/>
          <w:szCs w:val="28"/>
          <w:highlight w:val="yellow"/>
        </w:rPr>
      </w:r>
      <w:r>
        <w:rPr>
          <w:color w:val="7030a0" w:themeColor="text1"/>
          <w:sz w:val="28"/>
          <w:szCs w:val="28"/>
          <w:highlight w:val="yellow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7030a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</w:t>
      </w:r>
      <w:r>
        <w:rPr>
          <w:b/>
          <w:color w:val="000000" w:themeColor="text1"/>
          <w:sz w:val="28"/>
          <w:szCs w:val="28"/>
          <w:highlight w:val="white"/>
        </w:rPr>
        <w:t xml:space="preserve">о</w:t>
      </w:r>
      <w:r>
        <w:rPr>
          <w:b/>
          <w:color w:val="000000" w:themeColor="text1"/>
          <w:sz w:val="28"/>
          <w:szCs w:val="28"/>
          <w:highlight w:val="white"/>
        </w:rPr>
        <w:t xml:space="preserve">ды от оказания платных услуг (работ) и компенсации затрат государства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4 425 096,3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руб., что составляет 95,1 </w:t>
      </w:r>
      <w:r>
        <w:rPr>
          <w:color w:val="000000" w:themeColor="text1"/>
          <w:sz w:val="28"/>
          <w:szCs w:val="28"/>
          <w:highlight w:val="white"/>
        </w:rPr>
        <w:t xml:space="preserve">% к плану </w:t>
      </w:r>
      <w:r>
        <w:rPr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(4 654 906,7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руб.) и 78,3</w:t>
      </w:r>
      <w:r>
        <w:rPr>
          <w:color w:val="000000" w:themeColor="text1"/>
          <w:sz w:val="28"/>
          <w:szCs w:val="28"/>
          <w:highlight w:val="white"/>
        </w:rPr>
        <w:t xml:space="preserve"> % к плану го</w:t>
      </w:r>
      <w:r>
        <w:rPr>
          <w:color w:val="000000" w:themeColor="text1"/>
          <w:sz w:val="28"/>
          <w:szCs w:val="28"/>
          <w:highlight w:val="white"/>
        </w:rPr>
        <w:t xml:space="preserve">да (</w:t>
      </w:r>
      <w:r>
        <w:rPr>
          <w:color w:val="000000" w:themeColor="text1"/>
          <w:sz w:val="28"/>
          <w:szCs w:val="28"/>
          <w:highlight w:val="white"/>
        </w:rPr>
        <w:t xml:space="preserve">5 651 966,4 </w:t>
      </w:r>
      <w:r>
        <w:rPr>
          <w:color w:val="000000" w:themeColor="text1"/>
          <w:sz w:val="28"/>
          <w:szCs w:val="28"/>
          <w:highlight w:val="white"/>
        </w:rPr>
        <w:t xml:space="preserve">тыс. </w:t>
      </w:r>
      <w:r>
        <w:rPr>
          <w:color w:val="000000" w:themeColor="text1"/>
          <w:sz w:val="28"/>
          <w:szCs w:val="28"/>
          <w:highlight w:val="white"/>
        </w:rPr>
        <w:t xml:space="preserve">руб.). </w:t>
      </w:r>
      <w:r>
        <w:rPr>
          <w:color w:val="000000" w:themeColor="text1"/>
          <w:sz w:val="28"/>
          <w:szCs w:val="28"/>
          <w:highlight w:val="white"/>
        </w:rPr>
        <w:tab/>
        <w:t xml:space="preserve">В том числе:</w:t>
      </w:r>
      <w:r>
        <w:rPr>
          <w:color w:val="7030a0" w:themeColor="text1"/>
          <w:sz w:val="28"/>
          <w:szCs w:val="28"/>
          <w:highlight w:val="white"/>
        </w:rPr>
      </w:r>
      <w:r>
        <w:rPr>
          <w:color w:val="7030a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color w:val="7030a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i/>
          <w:color w:val="000000" w:themeColor="text1"/>
          <w:sz w:val="28"/>
          <w:szCs w:val="28"/>
          <w:highlight w:val="white"/>
        </w:rPr>
        <w:t xml:space="preserve">-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 средства от реализации проездных документов отдельным категориям граждан города Перми,</w:t>
      </w:r>
      <w:r>
        <w:rPr>
          <w:i/>
          <w:color w:val="000000" w:themeColor="text1"/>
          <w:sz w:val="28"/>
          <w:szCs w:val="28"/>
          <w:highlight w:val="white"/>
        </w:rPr>
        <w:t xml:space="preserve"> администрируемые департаментом транспорта,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  <w:vertAlign w:val="baseline"/>
        </w:rPr>
        <w:t xml:space="preserve">504 793,9</w:t>
      </w:r>
      <w:r>
        <w:rPr>
          <w:color w:val="000000" w:themeColor="text1"/>
          <w:sz w:val="28"/>
          <w:szCs w:val="28"/>
          <w:highlight w:val="white"/>
        </w:rPr>
        <w:t xml:space="preserve"> тыс. руб., или 95,4 % к плану </w:t>
      </w:r>
      <w:r>
        <w:rPr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  <w:vertAlign w:val="baseline"/>
        </w:rPr>
        <w:t xml:space="preserve">529 025,9</w:t>
      </w:r>
      <w:r>
        <w:rPr>
          <w:color w:val="000000" w:themeColor="text1"/>
          <w:sz w:val="28"/>
          <w:szCs w:val="28"/>
          <w:highlight w:val="white"/>
        </w:rPr>
        <w:t xml:space="preserve"> тыс. руб.) и </w:t>
      </w:r>
      <w:r>
        <w:rPr>
          <w:color w:val="000000" w:themeColor="text1"/>
          <w:sz w:val="28"/>
          <w:szCs w:val="28"/>
          <w:highlight w:val="white"/>
        </w:rPr>
        <w:t xml:space="preserve">77,2</w:t>
      </w:r>
      <w:r>
        <w:rPr>
          <w:color w:val="000000" w:themeColor="text1"/>
          <w:sz w:val="28"/>
          <w:szCs w:val="28"/>
          <w:highlight w:val="white"/>
        </w:rPr>
        <w:t xml:space="preserve"> % к плану года (</w:t>
      </w:r>
      <w:r>
        <w:rPr>
          <w:color w:val="000000" w:themeColor="text1"/>
          <w:sz w:val="28"/>
          <w:szCs w:val="28"/>
          <w:highlight w:val="white"/>
        </w:rPr>
        <w:t xml:space="preserve">653 882,1</w:t>
      </w:r>
      <w:r>
        <w:rPr>
          <w:color w:val="000000" w:themeColor="text1"/>
          <w:sz w:val="28"/>
          <w:szCs w:val="28"/>
          <w:highlight w:val="white"/>
        </w:rPr>
        <w:t xml:space="preserve"> тыс. руб.);</w:t>
      </w:r>
      <w:r>
        <w:rPr>
          <w:color w:val="7030a0" w:themeColor="text1"/>
          <w:sz w:val="28"/>
          <w:szCs w:val="28"/>
          <w:highlight w:val="white"/>
          <w14:ligatures w14:val="none"/>
        </w:rPr>
      </w:r>
      <w:r>
        <w:rPr>
          <w:color w:val="7030a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7030a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i/>
          <w:color w:val="000000" w:themeColor="text1"/>
          <w:sz w:val="28"/>
          <w:szCs w:val="28"/>
          <w:highlight w:val="white"/>
        </w:rPr>
        <w:t xml:space="preserve">-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 средства от реализации единых проездных документов, </w:t>
      </w:r>
      <w:r>
        <w:rPr>
          <w:i/>
          <w:color w:val="000000" w:themeColor="text1"/>
          <w:sz w:val="28"/>
          <w:szCs w:val="28"/>
          <w:highlight w:val="white"/>
        </w:rPr>
        <w:t xml:space="preserve">администрируемые департаментом транспорта, </w:t>
      </w:r>
      <w:r>
        <w:rPr>
          <w:color w:val="000000" w:themeColor="text1"/>
          <w:sz w:val="28"/>
          <w:szCs w:val="28"/>
          <w:highlight w:val="white"/>
        </w:rPr>
        <w:t xml:space="preserve">поступили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  <w:vertAlign w:val="baseline"/>
        </w:rPr>
        <w:t xml:space="preserve">389 831,3</w:t>
      </w:r>
      <w:r>
        <w:rPr>
          <w:color w:val="000000" w:themeColor="text1"/>
          <w:sz w:val="28"/>
          <w:szCs w:val="28"/>
          <w:highlight w:val="white"/>
        </w:rPr>
        <w:t xml:space="preserve"> тыс. руб., или 110,2 %                  к плану </w:t>
      </w:r>
      <w:r>
        <w:rPr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  <w:vertAlign w:val="baseline"/>
        </w:rPr>
        <w:t xml:space="preserve">353 670,6</w:t>
      </w:r>
      <w:r>
        <w:rPr>
          <w:color w:val="000000" w:themeColor="text1"/>
          <w:sz w:val="28"/>
          <w:szCs w:val="28"/>
          <w:highlight w:val="white"/>
        </w:rPr>
        <w:t xml:space="preserve"> тыс. руб.) и 92,1 % к плану года (</w:t>
      </w:r>
      <w:r>
        <w:rPr>
          <w:color w:val="000000" w:themeColor="text1"/>
          <w:sz w:val="28"/>
          <w:szCs w:val="28"/>
          <w:highlight w:val="white"/>
        </w:rPr>
        <w:t xml:space="preserve">423 200,8               </w:t>
      </w:r>
      <w:r>
        <w:rPr>
          <w:color w:val="000000" w:themeColor="text1"/>
          <w:sz w:val="28"/>
          <w:szCs w:val="28"/>
          <w:highlight w:val="white"/>
        </w:rPr>
        <w:t xml:space="preserve">тыс. руб.);</w:t>
      </w:r>
      <w:r>
        <w:rPr>
          <w:color w:val="7030a0" w:themeColor="text1"/>
          <w:sz w:val="28"/>
          <w:szCs w:val="28"/>
          <w:highlight w:val="white"/>
          <w14:ligatures w14:val="none"/>
        </w:rPr>
      </w:r>
      <w:r>
        <w:rPr>
          <w:color w:val="7030a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7030a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i/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средства от перечисления платы за проезд пассажиров и провоз багажа, </w:t>
      </w:r>
      <w:r>
        <w:rPr>
          <w:i/>
          <w:color w:val="000000" w:themeColor="text1"/>
          <w:sz w:val="28"/>
          <w:szCs w:val="28"/>
          <w:highlight w:val="white"/>
        </w:rPr>
        <w:t xml:space="preserve">администрируемые департаментом транспорта</w:t>
      </w:r>
      <w:r>
        <w:rPr>
          <w:color w:val="000000" w:themeColor="text1"/>
          <w:sz w:val="28"/>
          <w:szCs w:val="28"/>
          <w:highlight w:val="white"/>
        </w:rPr>
        <w:t xml:space="preserve">, поступили в сумме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  <w:vertAlign w:val="baseline"/>
        </w:rPr>
        <w:t xml:space="preserve">3 463 244,2             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руб., или 93,1 % к плану </w:t>
      </w:r>
      <w:r>
        <w:rPr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  <w:vertAlign w:val="baseline"/>
        </w:rPr>
        <w:t xml:space="preserve">3 720 418,8</w:t>
      </w:r>
      <w:r>
        <w:rPr>
          <w:color w:val="000000" w:themeColor="text1"/>
          <w:sz w:val="28"/>
          <w:szCs w:val="28"/>
          <w:highlight w:val="white"/>
        </w:rPr>
        <w:t xml:space="preserve"> тыс. руб.) и 76,7 %                        к плану года (</w:t>
      </w:r>
      <w:r>
        <w:rPr>
          <w:color w:val="000000" w:themeColor="text1"/>
          <w:sz w:val="28"/>
          <w:szCs w:val="28"/>
          <w:highlight w:val="white"/>
        </w:rPr>
        <w:t xml:space="preserve">4 515 290,6</w:t>
      </w:r>
      <w:r>
        <w:rPr>
          <w:color w:val="000000" w:themeColor="text1"/>
          <w:sz w:val="28"/>
          <w:szCs w:val="28"/>
          <w:highlight w:val="white"/>
        </w:rPr>
        <w:t xml:space="preserve"> тыс. руб.)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7030a0" w:themeColor="text1"/>
          <w:sz w:val="28"/>
          <w:szCs w:val="28"/>
          <w:highlight w:val="none"/>
          <w14:ligatures w14:val="none"/>
        </w:rPr>
      </w:r>
      <w:r>
        <w:rPr>
          <w:color w:val="7030a0" w:themeColor="text1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  <w:tab w:val="left" w:pos="900" w:leader="none"/>
        </w:tabs>
        <w:rPr>
          <w:color w:val="7030a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В целом по доходам от платы за проезд выполнение составило 94,7 % от плана отчетного периода.</w:t>
      </w:r>
      <w:r>
        <w:rPr>
          <w:color w:val="7030a0" w:themeColor="text1"/>
          <w:sz w:val="28"/>
          <w:szCs w:val="28"/>
          <w:highlight w:val="white"/>
        </w:rPr>
      </w:r>
      <w:r>
        <w:rPr>
          <w:color w:val="7030a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7030a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Доходы от продажи земельных </w:t>
      </w:r>
      <w:r>
        <w:rPr>
          <w:b/>
          <w:color w:val="000000" w:themeColor="text1"/>
          <w:sz w:val="28"/>
          <w:szCs w:val="28"/>
          <w:highlight w:val="white"/>
        </w:rPr>
        <w:t xml:space="preserve">участков, государственная собственность            на которые не разграничена</w:t>
      </w:r>
      <w:r>
        <w:rPr>
          <w:b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eastAsia="Calibri"/>
          <w:i/>
          <w:color w:val="000000" w:themeColor="text1"/>
          <w:sz w:val="28"/>
          <w:szCs w:val="28"/>
          <w:highlight w:val="white"/>
        </w:rPr>
        <w:t xml:space="preserve">администрируемые департаментом земельных отношений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150 199,4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составляет 91,5 % к плану отчетного периода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164 230,0</w:t>
      </w:r>
      <w:r>
        <w:rPr>
          <w:color w:val="000000" w:themeColor="text1"/>
          <w:sz w:val="28"/>
          <w:szCs w:val="28"/>
          <w:highlight w:val="white"/>
        </w:rPr>
        <w:t xml:space="preserve"> тыс. руб.) и 74,1</w:t>
      </w:r>
      <w:r>
        <w:rPr>
          <w:color w:val="000000" w:themeColor="text1"/>
          <w:sz w:val="28"/>
          <w:szCs w:val="28"/>
          <w:highlight w:val="white"/>
        </w:rPr>
        <w:t xml:space="preserve"> % к плану года (202 788,7 тыс. руб.). </w:t>
      </w:r>
      <w:r>
        <w:rPr>
          <w:color w:val="7030a0" w:themeColor="text1"/>
          <w:sz w:val="28"/>
          <w:szCs w:val="28"/>
          <w:highlight w:val="white"/>
        </w:rPr>
      </w:r>
      <w:r>
        <w:rPr>
          <w:color w:val="7030a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color w:val="7030a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По сравнению с аналогичным периодом прошлого года поступления уменьшились на 38 837,2 тыс. руб. </w:t>
      </w:r>
      <w:r>
        <w:rPr>
          <w:color w:val="000000" w:themeColor="text1"/>
          <w:sz w:val="28"/>
          <w:szCs w:val="28"/>
          <w:highlight w:val="white"/>
        </w:rPr>
        <w:t xml:space="preserve">П</w:t>
      </w:r>
      <w:r>
        <w:rPr>
          <w:color w:val="000000" w:themeColor="text1"/>
          <w:sz w:val="28"/>
          <w:szCs w:val="28"/>
          <w:highlight w:val="white"/>
        </w:rPr>
        <w:t xml:space="preserve">оступление средств от продажи земельных участков носит заявительный характер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7030a0" w:themeColor="text1"/>
          <w:sz w:val="28"/>
          <w:szCs w:val="28"/>
          <w:highlight w:val="white"/>
        </w:rPr>
      </w:r>
      <w:r>
        <w:rPr>
          <w:color w:val="7030a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color w:val="7030a0"/>
          <w:sz w:val="28"/>
          <w:szCs w:val="28"/>
          <w:highlight w:val="white"/>
        </w:rPr>
        <w:suppressLineNumbers w:val="0"/>
      </w:pPr>
      <w:r>
        <w:rPr>
          <w:color w:val="7030a0"/>
          <w:sz w:val="28"/>
          <w:szCs w:val="28"/>
          <w:highlight w:val="white"/>
        </w:rPr>
      </w:r>
      <w:r>
        <w:rPr>
          <w:color w:val="7030a0"/>
          <w:sz w:val="28"/>
          <w:szCs w:val="28"/>
          <w:highlight w:val="white"/>
        </w:rPr>
      </w:r>
      <w:r>
        <w:rPr>
          <w:color w:val="7030a0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color w:val="7030a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Доходы </w:t>
      </w:r>
      <w:r>
        <w:rPr>
          <w:b/>
          <w:color w:val="000000" w:themeColor="text1"/>
          <w:sz w:val="28"/>
          <w:szCs w:val="28"/>
          <w:highlight w:val="white"/>
        </w:rPr>
        <w:t xml:space="preserve">от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</w:t>
      </w:r>
      <w:r>
        <w:rPr>
          <w:b/>
          <w:color w:val="000000" w:themeColor="text1"/>
          <w:sz w:val="28"/>
          <w:szCs w:val="28"/>
          <w:highlight w:val="white"/>
        </w:rPr>
        <w:t xml:space="preserve">собственность               на которые не разграничена</w:t>
      </w:r>
      <w:r>
        <w:rPr>
          <w:b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eastAsia="Calibri"/>
          <w:i/>
          <w:color w:val="000000" w:themeColor="text1"/>
          <w:sz w:val="28"/>
          <w:szCs w:val="28"/>
          <w:highlight w:val="white"/>
        </w:rPr>
        <w:t xml:space="preserve">администрируемые департаментом земельных отношений</w:t>
      </w:r>
      <w:r>
        <w:rPr>
          <w:color w:val="000000" w:themeColor="text1"/>
          <w:sz w:val="28"/>
          <w:szCs w:val="28"/>
          <w:highlight w:val="white"/>
        </w:rPr>
        <w:t xml:space="preserve">, поступили в размере 69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 538,1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составляет 92,0 %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от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плана </w:t>
      </w:r>
      <w:r>
        <w:rPr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75 550,0</w:t>
      </w:r>
      <w:r>
        <w:rPr>
          <w:color w:val="000000" w:themeColor="text1"/>
          <w:sz w:val="28"/>
          <w:szCs w:val="28"/>
          <w:highlight w:val="white"/>
        </w:rPr>
        <w:t xml:space="preserve"> тыс. руб.) и 71,8 % к  плану года (96 901,9 тыс. </w:t>
      </w:r>
      <w:r>
        <w:rPr>
          <w:color w:val="000000" w:themeColor="text1"/>
          <w:sz w:val="28"/>
          <w:szCs w:val="28"/>
          <w:highlight w:val="white"/>
        </w:rPr>
        <w:t xml:space="preserve">руб.).</w:t>
      </w:r>
      <w:r>
        <w:rPr>
          <w:color w:val="7030a0" w:themeColor="text1"/>
          <w:sz w:val="28"/>
          <w:szCs w:val="28"/>
          <w:highlight w:val="white"/>
        </w:rPr>
      </w:r>
      <w:r>
        <w:rPr>
          <w:color w:val="7030a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color w:val="7030a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По сравнению с аналогичным периодом прошлого года поступления уменьшились на 51 512,7 тыс. руб. </w:t>
      </w:r>
      <w:r>
        <w:rPr>
          <w:color w:val="000000" w:themeColor="text1"/>
          <w:sz w:val="28"/>
          <w:szCs w:val="28"/>
          <w:highlight w:val="white"/>
        </w:rPr>
        <w:t xml:space="preserve">Поступление средств от продажи земельных участков носит заявительный характер.</w:t>
      </w:r>
      <w:r>
        <w:rPr>
          <w:color w:val="7030a0" w:themeColor="text1"/>
          <w:sz w:val="28"/>
          <w:szCs w:val="28"/>
          <w:highlight w:val="white"/>
        </w:rPr>
      </w:r>
      <w:r>
        <w:rPr>
          <w:color w:val="7030a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7030a0"/>
          <w:sz w:val="28"/>
          <w:szCs w:val="28"/>
          <w:highlight w:val="none"/>
        </w:rPr>
        <w:outlineLvl w:val="0"/>
        <w:suppressLineNumbers w:val="0"/>
      </w:pPr>
      <w:r>
        <w:rPr>
          <w:color w:val="7030a0"/>
          <w:sz w:val="28"/>
          <w:szCs w:val="28"/>
          <w:highlight w:val="none"/>
        </w:rPr>
      </w:r>
      <w:r>
        <w:rPr>
          <w:color w:val="7030a0"/>
          <w:sz w:val="28"/>
          <w:szCs w:val="28"/>
          <w:highlight w:val="none"/>
        </w:rPr>
      </w:r>
      <w:r>
        <w:rPr>
          <w:color w:val="7030a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  <w:tab w:val="left" w:pos="900" w:leader="none"/>
        </w:tabs>
        <w:rPr>
          <w:color w:val="7030a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Доходы от приватизации имущества,</w:t>
      </w:r>
      <w:r>
        <w:rPr>
          <w:b/>
          <w:i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color w:val="000000" w:themeColor="text1"/>
          <w:sz w:val="28"/>
          <w:szCs w:val="28"/>
          <w:highlight w:val="white"/>
        </w:rPr>
        <w:t xml:space="preserve">находящегося в собственности городских округов</w:t>
      </w:r>
      <w:r>
        <w:rPr>
          <w:color w:val="000000" w:themeColor="text1"/>
          <w:sz w:val="28"/>
          <w:szCs w:val="28"/>
          <w:highlight w:val="white"/>
        </w:rPr>
        <w:t xml:space="preserve">, поступили в размере 88 498,0 тыс. руб., что в 1,3 раза превышает план отчетного периода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(70 173,9 тыс. руб.) и составляет 104,4 % к уточненному плану года (84 753,8 тыс. руб.)</w:t>
      </w:r>
      <w:r>
        <w:rPr>
          <w:color w:val="000000" w:themeColor="text1"/>
          <w:sz w:val="28"/>
          <w:szCs w:val="28"/>
          <w:highlight w:val="white"/>
        </w:rPr>
        <w:t xml:space="preserve">. Относительно аналогичного периода прошлого года поступления по данному виду дохода составили 28,2 %. </w:t>
      </w:r>
      <w:r>
        <w:rPr>
          <w:color w:val="000000" w:themeColor="text1"/>
          <w:sz w:val="28"/>
          <w:szCs w:val="28"/>
          <w:highlight w:val="white"/>
        </w:rPr>
        <w:t xml:space="preserve">В том числе:</w:t>
      </w:r>
      <w:r>
        <w:rPr>
          <w:color w:val="7030a0" w:themeColor="text1"/>
          <w:sz w:val="28"/>
          <w:szCs w:val="28"/>
          <w:highlight w:val="white"/>
        </w:rPr>
      </w:r>
      <w:r>
        <w:rPr>
          <w:color w:val="7030a0" w:themeColor="text1"/>
          <w:sz w:val="28"/>
          <w:szCs w:val="28"/>
          <w:highlight w:val="white"/>
        </w:rPr>
      </w:r>
    </w:p>
    <w:p>
      <w:pPr>
        <w:contextualSpacing w:val="0"/>
        <w:ind w:right="-1" w:firstLine="709"/>
        <w:jc w:val="both"/>
        <w:spacing w:before="0" w:after="0" w:line="240" w:lineRule="auto"/>
        <w:widowControl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В результате реализации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муниципального имущества на торгах в порядке, </w:t>
      </w:r>
      <w:r>
        <w:rPr>
          <w:color w:val="000000" w:themeColor="text1"/>
          <w:sz w:val="28"/>
          <w:szCs w:val="28"/>
          <w:highlight w:val="white"/>
        </w:rPr>
        <w:t xml:space="preserve">установленном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Федеральным законом от 21.12.2001 № 178-ФЗ «О приватизации государственного и муниципального имущества», </w:t>
      </w:r>
      <w:r>
        <w:rPr>
          <w:color w:val="000000" w:themeColor="text1"/>
          <w:sz w:val="28"/>
          <w:szCs w:val="28"/>
          <w:highlight w:val="white"/>
        </w:rPr>
        <w:t xml:space="preserve">поступили доходы в сумме </w:t>
      </w:r>
      <w:r>
        <w:rPr>
          <w:color w:val="000000" w:themeColor="text1"/>
          <w:sz w:val="28"/>
          <w:szCs w:val="28"/>
          <w:highlight w:val="white"/>
        </w:rPr>
        <w:br/>
        <w:t xml:space="preserve">59 048,6 тыс. руб., что в 1,5 раза превышает план отчетного периода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(38</w:t>
      </w:r>
      <w:r>
        <w:rPr>
          <w:color w:val="000000" w:themeColor="text1"/>
          <w:sz w:val="28"/>
          <w:szCs w:val="28"/>
          <w:highlight w:val="white"/>
        </w:rPr>
        <w:t xml:space="preserve"> 419,9</w:t>
      </w:r>
      <w:r>
        <w:rPr>
          <w:color w:val="000000" w:themeColor="text1"/>
          <w:sz w:val="28"/>
          <w:szCs w:val="28"/>
          <w:highlight w:val="white"/>
        </w:rPr>
        <w:t xml:space="preserve">                     тыс. руб.) и в 1,3 раза уточненный план года (45 675,1 тыс. руб.).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Перевыполнение плана обусловлено</w:t>
      </w:r>
      <w:r>
        <w:rPr>
          <w:color w:val="000000" w:themeColor="text1"/>
          <w:sz w:val="28"/>
          <w:szCs w:val="28"/>
          <w:highlight w:val="none"/>
        </w:rPr>
        <w:t xml:space="preserve"> реализацией долей в праве на земельные участки по цене выше запланированной.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right="-1" w:firstLine="709"/>
        <w:jc w:val="both"/>
        <w:spacing w:before="0" w:after="0" w:line="240" w:lineRule="auto"/>
        <w:widowControl/>
        <w:rPr>
          <w:rFonts w:eastAsia="Calibri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В результате реализации муниципального имущества в порядке, установленном Федеральным законом от 22.07.2008 № 159-ФЗ «Об особенностях отчуждения недвижимого имущества, находящегося в государственной собственн</w:t>
      </w: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доходы поступили в сумме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29 449,4 </w:t>
      </w: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тыс. руб., </w:t>
      </w:r>
      <w:r>
        <w:rPr>
          <w:color w:val="000000" w:themeColor="text1"/>
          <w:sz w:val="28"/>
          <w:szCs w:val="28"/>
          <w:highlight w:val="white"/>
        </w:rPr>
        <w:t xml:space="preserve">что составляет 94,1 % к плану отчетного периода </w:t>
      </w: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(31 296,4 тыс. руб.) и 76,3 % к плану года (38 597,7 тыс. руб.).</w:t>
      </w:r>
      <w:r>
        <w:rPr>
          <w:rFonts w:eastAsia="Calibri"/>
          <w:color w:val="000000" w:themeColor="text1"/>
          <w:sz w:val="28"/>
          <w:szCs w:val="28"/>
          <w:highlight w:val="none"/>
        </w:rPr>
      </w:r>
      <w:r>
        <w:rPr>
          <w:rFonts w:eastAsia="Calibri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right="-1" w:firstLine="709"/>
        <w:jc w:val="both"/>
        <w:spacing w:before="0" w:after="0" w:line="240" w:lineRule="auto"/>
        <w:widowControl/>
        <w:rPr>
          <w:rFonts w:eastAsia="Calibri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eastAsia="Calibri"/>
          <w:color w:val="000000" w:themeColor="text1"/>
          <w:sz w:val="28"/>
          <w:szCs w:val="28"/>
          <w:highlight w:val="none"/>
        </w:rPr>
      </w:r>
      <w:r>
        <w:rPr>
          <w:rFonts w:eastAsia="Calibri"/>
          <w:color w:val="000000" w:themeColor="text1"/>
          <w:sz w:val="28"/>
          <w:szCs w:val="28"/>
          <w:highlight w:val="none"/>
        </w:rPr>
      </w:r>
      <w:r>
        <w:rPr>
          <w:rFonts w:eastAsia="Calibri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П</w:t>
      </w:r>
      <w:r>
        <w:rPr>
          <w:b/>
          <w:color w:val="000000" w:themeColor="text1"/>
          <w:sz w:val="28"/>
          <w:szCs w:val="28"/>
          <w:highlight w:val="white"/>
        </w:rPr>
        <w:t xml:space="preserve">рочие неналоговые доходы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</w:t>
      </w:r>
      <w:r>
        <w:rPr>
          <w:color w:val="000000" w:themeColor="text1"/>
          <w:sz w:val="28"/>
          <w:szCs w:val="28"/>
          <w:highlight w:val="white"/>
        </w:rPr>
        <w:t xml:space="preserve">оступили в сумме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189 182,1</w:t>
      </w:r>
      <w:r>
        <w:rPr>
          <w:color w:val="000000" w:themeColor="text1"/>
          <w:sz w:val="28"/>
          <w:szCs w:val="28"/>
          <w:highlight w:val="none"/>
        </w:rPr>
        <w:t xml:space="preserve"> тыс. руб., что в 1,5 раза превышает план отчетного периода </w:t>
      </w:r>
      <w:r>
        <w:rPr>
          <w:rFonts w:eastAsia="Calibri"/>
          <w:color w:val="000000" w:themeColor="text1"/>
          <w:sz w:val="28"/>
          <w:szCs w:val="28"/>
          <w:highlight w:val="none"/>
        </w:rPr>
        <w:t xml:space="preserve">(122 815,0</w:t>
      </w:r>
      <w:r>
        <w:rPr>
          <w:rFonts w:eastAsia="Calibri"/>
          <w:color w:val="000000" w:themeColor="text1"/>
          <w:sz w:val="28"/>
          <w:szCs w:val="28"/>
          <w:highlight w:val="none"/>
        </w:rPr>
        <w:t xml:space="preserve"> тыс. руб.) и составляет </w:t>
      </w:r>
      <w:r>
        <w:rPr>
          <w:rFonts w:eastAsia="Calibri"/>
          <w:color w:val="000000" w:themeColor="text1"/>
          <w:sz w:val="28"/>
          <w:szCs w:val="28"/>
          <w:highlight w:val="none"/>
        </w:rPr>
        <w:t xml:space="preserve">122,4</w:t>
      </w:r>
      <w:r>
        <w:rPr>
          <w:rFonts w:eastAsia="Calibri"/>
          <w:color w:val="000000" w:themeColor="text1"/>
          <w:sz w:val="28"/>
          <w:szCs w:val="28"/>
          <w:highlight w:val="none"/>
        </w:rPr>
        <w:t xml:space="preserve"> %                    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к плану года (154 615,6 тыс. руб.)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В том числе: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rFonts w:eastAsia="Calibri"/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bCs/>
          <w:color w:val="000000" w:themeColor="text1"/>
          <w:sz w:val="28"/>
          <w:szCs w:val="28"/>
          <w:highlight w:val="yellow"/>
        </w:rPr>
      </w:r>
      <w:r>
        <w:rPr>
          <w:b/>
          <w:i/>
          <w:color w:val="000000" w:themeColor="text1"/>
          <w:sz w:val="28"/>
          <w:szCs w:val="28"/>
          <w:highlight w:val="white"/>
        </w:rPr>
        <w:t xml:space="preserve">-</w:t>
      </w:r>
      <w:r>
        <w:rPr>
          <w:b/>
          <w:i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восстановительная стоимость зеленых насаждений,</w:t>
      </w:r>
      <w:r>
        <w:rPr>
          <w:i/>
          <w:color w:val="000000" w:themeColor="text1"/>
          <w:sz w:val="28"/>
          <w:szCs w:val="28"/>
          <w:highlight w:val="white"/>
        </w:rPr>
        <w:t xml:space="preserve"> администрируемая </w:t>
      </w:r>
      <w:r>
        <w:rPr>
          <w:i/>
          <w:color w:val="000000" w:themeColor="text1"/>
          <w:sz w:val="28"/>
          <w:szCs w:val="28"/>
          <w:highlight w:val="white"/>
        </w:rPr>
        <w:t xml:space="preserve">управлением по экологии и природопользовани</w:t>
      </w:r>
      <w:r>
        <w:rPr>
          <w:i/>
          <w:color w:val="000000" w:themeColor="text1"/>
          <w:sz w:val="28"/>
          <w:szCs w:val="28"/>
          <w:highlight w:val="white"/>
        </w:rPr>
        <w:t xml:space="preserve">ю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поступила в сумме 94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 495,9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тыс. руб.,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что в 3,2 раза превышает план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(29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 700,0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тыс. руб.)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и в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1,9 раза план года (50 550,3 тыс. руб.)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rFonts w:eastAsia="Calibri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Перевыполнение плана обусловлено поступлениями от крупных предприятий                  в сфере строительства</w:t>
      </w: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left" w:pos="0" w:leader="none"/>
        </w:tabs>
        <w:rPr>
          <w:b/>
          <w:bCs/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п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лата за фактическое пользование земельными участка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м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и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,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до раз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граничения государственной собственности на землю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, 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а также находящимися                       в муниципальной собственности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,</w:t>
      </w:r>
      <w:r>
        <w:rPr>
          <w:b w:val="0"/>
          <w:bCs w:val="0"/>
          <w:i/>
          <w:iCs/>
          <w:color w:val="000000" w:themeColor="text1"/>
          <w:sz w:val="28"/>
          <w:szCs w:val="28"/>
          <w:highlight w:val="white"/>
        </w:rPr>
        <w:t xml:space="preserve"> администрируемая </w:t>
      </w:r>
      <w:r>
        <w:rPr>
          <w:b w:val="0"/>
          <w:bCs w:val="0"/>
          <w:i/>
          <w:iCs/>
          <w:color w:val="000000" w:themeColor="text1"/>
          <w:sz w:val="28"/>
          <w:szCs w:val="28"/>
          <w:highlight w:val="white"/>
        </w:rPr>
        <w:t xml:space="preserve">департаментом земельных отношений,</w:t>
      </w:r>
      <w:r>
        <w:rPr>
          <w:b w:val="0"/>
          <w:bCs w:val="0"/>
          <w:i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поступила в сумме 57 368,6 тыс. руб.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, что на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1,2 %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превышает план отчетного периода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(56 665,0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тыс.руб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.)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и составляет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83,8 %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от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годового планового задания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(68 465,1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тыс. руб.).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numPr>
          <w:ilvl w:val="0"/>
          <w:numId w:val="1"/>
        </w:numPr>
        <w:jc w:val="center"/>
        <w:spacing w:line="240" w:lineRule="atLeast"/>
        <w:rPr>
          <w:b/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highlight w:val="white"/>
        </w:rPr>
        <w:t xml:space="preserve">ИСПОЛНЕНИЕ БЮДЖЕТА ПО РАСХОДАМ</w:t>
      </w:r>
      <w:r>
        <w:rPr>
          <w:b/>
          <w:color w:val="auto"/>
          <w:sz w:val="28"/>
          <w:szCs w:val="28"/>
          <w:highlight w:val="white"/>
        </w:rPr>
      </w:r>
      <w:r>
        <w:rPr>
          <w:b/>
          <w:color w:val="auto"/>
          <w:sz w:val="28"/>
          <w:szCs w:val="28"/>
          <w:highlight w:val="white"/>
        </w:rPr>
      </w:r>
    </w:p>
    <w:p>
      <w:pPr>
        <w:ind w:firstLine="360"/>
        <w:jc w:val="center"/>
        <w:spacing w:line="240" w:lineRule="atLeast"/>
        <w:rPr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highlight w:val="non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(</w:t>
      </w:r>
      <w:r>
        <w:rPr>
          <w:color w:val="auto"/>
          <w:sz w:val="28"/>
          <w:szCs w:val="28"/>
          <w:highlight w:val="white"/>
        </w:rPr>
        <w:t xml:space="preserve">приложение 2 к настоящей записке)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ind w:firstLine="709"/>
        <w:spacing w:line="240" w:lineRule="auto"/>
        <w:tabs>
          <w:tab w:val="left" w:pos="7938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0"/>
        <w:spacing w:line="240" w:lineRule="auto"/>
        <w:tabs>
          <w:tab w:val="left" w:pos="7938" w:leader="none"/>
        </w:tabs>
        <w:rPr>
          <w:color w:val="auto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         </w:t>
      </w:r>
      <w:r>
        <w:rPr>
          <w:color w:val="auto"/>
          <w:sz w:val="28"/>
          <w:szCs w:val="28"/>
          <w:highlight w:val="white"/>
        </w:rPr>
        <w:t xml:space="preserve">Кассовые расходы бюджета (без учёта зарезервированных </w:t>
      </w:r>
      <w:r>
        <w:rPr>
          <w:color w:val="auto"/>
          <w:sz w:val="28"/>
          <w:szCs w:val="28"/>
          <w:highlight w:val="white"/>
        </w:rPr>
        <w:t xml:space="preserve">средств:</w:t>
      </w:r>
      <w:r>
        <w:rPr>
          <w:color w:val="auto"/>
          <w:sz w:val="28"/>
          <w:szCs w:val="28"/>
          <w:highlight w:val="white"/>
        </w:rPr>
        <w:t xml:space="preserve"> на исполнение судебных исков, резервного фонда администрации города) на 1 </w:t>
      </w:r>
      <w:r>
        <w:rPr>
          <w:color w:val="auto"/>
          <w:sz w:val="28"/>
          <w:szCs w:val="28"/>
          <w:highlight w:val="white"/>
        </w:rPr>
        <w:t xml:space="preserve">ноября 2025 года состав</w:t>
      </w:r>
      <w:r>
        <w:rPr>
          <w:color w:val="auto"/>
          <w:sz w:val="28"/>
          <w:szCs w:val="28"/>
          <w:highlight w:val="white"/>
        </w:rPr>
        <w:t xml:space="preserve">ил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</w:rPr>
        <w:t xml:space="preserve">49 043 667,8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тыс.</w:t>
      </w:r>
      <w:r>
        <w:rPr>
          <w:color w:val="auto"/>
          <w:sz w:val="28"/>
          <w:szCs w:val="28"/>
          <w:highlight w:val="white"/>
        </w:rPr>
        <w:t xml:space="preserve"> ру</w:t>
      </w:r>
      <w:r>
        <w:rPr>
          <w:color w:val="auto"/>
          <w:sz w:val="28"/>
          <w:szCs w:val="28"/>
          <w:highlight w:val="white"/>
        </w:rPr>
        <w:t xml:space="preserve">б., </w:t>
      </w:r>
      <w:r>
        <w:rPr>
          <w:color w:val="auto"/>
          <w:sz w:val="28"/>
          <w:szCs w:val="28"/>
          <w:highlight w:val="white"/>
        </w:rPr>
        <w:t xml:space="preserve">или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</w:rPr>
        <w:t xml:space="preserve">95,4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% </w:t>
      </w:r>
      <w:r>
        <w:rPr>
          <w:color w:val="auto"/>
          <w:sz w:val="28"/>
          <w:szCs w:val="28"/>
          <w:highlight w:val="white"/>
        </w:rPr>
        <w:t xml:space="preserve">от кассо</w:t>
      </w:r>
      <w:r>
        <w:rPr>
          <w:color w:val="auto"/>
          <w:sz w:val="28"/>
          <w:szCs w:val="28"/>
          <w:highlight w:val="white"/>
        </w:rPr>
        <w:t xml:space="preserve">вого</w:t>
      </w:r>
      <w:r>
        <w:rPr>
          <w:color w:val="auto"/>
          <w:sz w:val="28"/>
          <w:szCs w:val="28"/>
          <w:highlight w:val="white"/>
        </w:rPr>
        <w:t xml:space="preserve"> плана отчетного периода                      (</w:t>
      </w:r>
      <w:r>
        <w:rPr>
          <w:color w:val="auto"/>
          <w:sz w:val="28"/>
          <w:szCs w:val="28"/>
          <w:highlight w:val="white"/>
        </w:rPr>
        <w:t xml:space="preserve">51 398 651,4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тыс. руб</w:t>
      </w:r>
      <w:r>
        <w:rPr>
          <w:color w:val="auto"/>
          <w:sz w:val="28"/>
          <w:szCs w:val="28"/>
          <w:highlight w:val="white"/>
        </w:rPr>
        <w:t xml:space="preserve">.) и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</w:rPr>
        <w:t xml:space="preserve">70,8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% </w:t>
      </w:r>
      <w:r>
        <w:rPr>
          <w:color w:val="auto"/>
          <w:sz w:val="28"/>
          <w:szCs w:val="28"/>
          <w:highlight w:val="white"/>
        </w:rPr>
        <w:t xml:space="preserve">от го</w:t>
      </w:r>
      <w:r>
        <w:rPr>
          <w:color w:val="auto"/>
          <w:sz w:val="28"/>
          <w:szCs w:val="28"/>
          <w:highlight w:val="white"/>
        </w:rPr>
        <w:t xml:space="preserve">довы</w:t>
      </w:r>
      <w:r>
        <w:rPr>
          <w:color w:val="auto"/>
          <w:sz w:val="28"/>
          <w:szCs w:val="28"/>
          <w:highlight w:val="white"/>
        </w:rPr>
        <w:t xml:space="preserve">х ассигнований</w:t>
      </w:r>
      <w:r>
        <w:rPr>
          <w:color w:val="auto"/>
          <w:sz w:val="28"/>
          <w:szCs w:val="28"/>
          <w:highlight w:val="white"/>
        </w:rPr>
        <w:t xml:space="preserve"> (</w:t>
      </w:r>
      <w:r>
        <w:rPr>
          <w:color w:val="auto"/>
          <w:sz w:val="28"/>
          <w:szCs w:val="28"/>
          <w:highlight w:val="white"/>
        </w:rPr>
        <w:t xml:space="preserve">69 253 860,9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тыс. руб</w:t>
      </w:r>
      <w:r>
        <w:rPr>
          <w:color w:val="auto"/>
          <w:sz w:val="28"/>
          <w:szCs w:val="28"/>
          <w:highlight w:val="white"/>
        </w:rPr>
        <w:t xml:space="preserve">.). </w:t>
      </w:r>
      <w:r>
        <w:rPr>
          <w:color w:val="000000" w:themeColor="text1"/>
          <w:sz w:val="28"/>
          <w:szCs w:val="28"/>
          <w:highlight w:val="white"/>
        </w:rPr>
        <w:t xml:space="preserve">Исполнение по расходам за январь-</w:t>
      </w:r>
      <w:r>
        <w:rPr>
          <w:color w:val="000000" w:themeColor="text1"/>
          <w:sz w:val="28"/>
          <w:szCs w:val="28"/>
          <w:highlight w:val="white"/>
        </w:rPr>
        <w:t xml:space="preserve">октябрь 2024 года составляло </w:t>
      </w:r>
      <w:r>
        <w:rPr>
          <w:color w:val="000000" w:themeColor="text1"/>
          <w:sz w:val="28"/>
          <w:szCs w:val="28"/>
          <w:highlight w:val="white"/>
        </w:rPr>
        <w:t xml:space="preserve">42 775 708,4</w:t>
      </w:r>
      <w:r>
        <w:rPr>
          <w:color w:val="000000" w:themeColor="text1"/>
          <w:sz w:val="28"/>
          <w:szCs w:val="28"/>
          <w:highlight w:val="white"/>
        </w:rPr>
        <w:t xml:space="preserve">                     тыс. р</w:t>
      </w:r>
      <w:r>
        <w:rPr>
          <w:color w:val="auto"/>
          <w:sz w:val="28"/>
          <w:szCs w:val="28"/>
          <w:highlight w:val="white"/>
        </w:rPr>
        <w:t xml:space="preserve">уб</w:t>
      </w:r>
      <w:r>
        <w:rPr>
          <w:color w:val="auto"/>
          <w:sz w:val="28"/>
          <w:szCs w:val="28"/>
          <w:highlight w:val="white"/>
        </w:rPr>
        <w:t xml:space="preserve">., и</w:t>
      </w:r>
      <w:r>
        <w:rPr>
          <w:color w:val="auto"/>
          <w:sz w:val="28"/>
          <w:szCs w:val="28"/>
          <w:highlight w:val="white"/>
        </w:rPr>
        <w:t xml:space="preserve">ли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95,6</w:t>
      </w:r>
      <w:r>
        <w:rPr>
          <w:b/>
          <w:color w:val="auto"/>
          <w:sz w:val="28"/>
          <w:szCs w:val="28"/>
          <w:highlight w:val="white"/>
        </w:rPr>
        <w:t xml:space="preserve"> % </w:t>
      </w:r>
      <w:r>
        <w:rPr>
          <w:color w:val="auto"/>
          <w:sz w:val="28"/>
          <w:szCs w:val="28"/>
          <w:highlight w:val="white"/>
        </w:rPr>
        <w:t xml:space="preserve">от</w:t>
      </w:r>
      <w:r>
        <w:rPr>
          <w:color w:val="auto"/>
          <w:sz w:val="28"/>
          <w:szCs w:val="28"/>
          <w:highlight w:val="white"/>
        </w:rPr>
        <w:t xml:space="preserve"> кассового </w:t>
      </w:r>
      <w:r>
        <w:rPr>
          <w:color w:val="auto"/>
          <w:sz w:val="28"/>
          <w:szCs w:val="28"/>
          <w:highlight w:val="white"/>
        </w:rPr>
        <w:t xml:space="preserve">плана отчетного периода 2024 </w:t>
      </w:r>
      <w:r>
        <w:rPr>
          <w:color w:val="auto"/>
          <w:sz w:val="28"/>
          <w:szCs w:val="28"/>
          <w:highlight w:val="white"/>
        </w:rPr>
        <w:t xml:space="preserve">года и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</w:rPr>
        <w:t xml:space="preserve">71,8</w:t>
      </w:r>
      <w:r>
        <w:rPr>
          <w:b/>
          <w:color w:val="auto"/>
          <w:sz w:val="28"/>
          <w:szCs w:val="28"/>
          <w:highlight w:val="non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%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                       </w:t>
      </w:r>
      <w:r>
        <w:rPr>
          <w:color w:val="000000" w:themeColor="text1"/>
          <w:sz w:val="28"/>
          <w:szCs w:val="28"/>
          <w:highlight w:val="white"/>
        </w:rPr>
        <w:t xml:space="preserve">от годовых </w:t>
      </w:r>
      <w:r>
        <w:rPr>
          <w:color w:val="000000" w:themeColor="text1"/>
          <w:sz w:val="28"/>
          <w:szCs w:val="28"/>
          <w:highlight w:val="white"/>
        </w:rPr>
        <w:t xml:space="preserve">ассигнований.  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   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firstLine="0"/>
        <w:spacing w:line="240" w:lineRule="auto"/>
        <w:tabs>
          <w:tab w:val="left" w:pos="7938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ind w:firstLine="709"/>
        <w:spacing w:line="240" w:lineRule="auto"/>
        <w:tabs>
          <w:tab w:val="left" w:pos="7938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white"/>
        </w:rPr>
        <w:t xml:space="preserve">Рас</w:t>
      </w:r>
      <w:r>
        <w:rPr>
          <w:color w:val="auto"/>
          <w:sz w:val="28"/>
          <w:szCs w:val="28"/>
          <w:highlight w:val="white"/>
        </w:rPr>
        <w:t xml:space="preserve">ходная часть бюджета за январь-</w:t>
      </w:r>
      <w:r>
        <w:rPr>
          <w:color w:val="auto"/>
          <w:sz w:val="28"/>
          <w:szCs w:val="28"/>
          <w:highlight w:val="white"/>
        </w:rPr>
        <w:t xml:space="preserve">октябрь </w:t>
      </w:r>
      <w:r>
        <w:rPr>
          <w:color w:val="auto"/>
          <w:sz w:val="28"/>
          <w:szCs w:val="28"/>
          <w:highlight w:val="white"/>
        </w:rPr>
        <w:t xml:space="preserve">2025 года в разрезе источников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финансирования исполнена следующим образом.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spacing w:line="240" w:lineRule="atLeast"/>
        <w:rPr>
          <w:color w:val="auto"/>
          <w:sz w:val="20"/>
          <w:szCs w:val="16"/>
          <w:highlight w:val="white"/>
        </w:rPr>
      </w:pPr>
      <w:r>
        <w:rPr>
          <w:color w:val="auto"/>
          <w:sz w:val="20"/>
          <w:szCs w:val="16"/>
          <w:highlight w:val="white"/>
        </w:rPr>
      </w:r>
      <w:r>
        <w:rPr>
          <w:color w:val="auto"/>
          <w:sz w:val="20"/>
          <w:szCs w:val="16"/>
          <w:highlight w:val="white"/>
        </w:rPr>
      </w:r>
      <w:r>
        <w:rPr>
          <w:color w:val="auto"/>
          <w:sz w:val="20"/>
          <w:szCs w:val="16"/>
          <w:highlight w:val="white"/>
        </w:rPr>
      </w:r>
    </w:p>
    <w:p>
      <w:pPr>
        <w:ind w:firstLine="709"/>
        <w:spacing w:line="240" w:lineRule="atLeast"/>
        <w:rPr>
          <w:b/>
          <w:bCs/>
          <w:color w:val="auto"/>
          <w:sz w:val="20"/>
          <w:szCs w:val="20"/>
          <w:highlight w:val="white"/>
        </w:rPr>
      </w:pPr>
      <w:r>
        <w:rPr>
          <w:b/>
          <w:color w:val="auto"/>
          <w:sz w:val="28"/>
          <w:szCs w:val="28"/>
          <w:highlight w:val="white"/>
        </w:rPr>
        <w:t xml:space="preserve">2.1. за счет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средств местного бюджета на выполнение собственных полномочий (без учёта зарезервированных средств) </w:t>
      </w:r>
      <w:r>
        <w:rPr>
          <w:color w:val="auto"/>
          <w:sz w:val="28"/>
          <w:szCs w:val="28"/>
          <w:highlight w:val="white"/>
        </w:rPr>
        <w:t xml:space="preserve">- кассовое исполнение </w:t>
      </w:r>
      <w:r>
        <w:rPr>
          <w:color w:val="auto"/>
          <w:sz w:val="28"/>
          <w:szCs w:val="28"/>
          <w:highlight w:val="white"/>
        </w:rPr>
        <w:t xml:space="preserve">соста</w:t>
      </w:r>
      <w:r>
        <w:rPr>
          <w:color w:val="auto"/>
          <w:sz w:val="28"/>
          <w:szCs w:val="28"/>
          <w:highlight w:val="white"/>
        </w:rPr>
        <w:t xml:space="preserve">вл</w:t>
      </w:r>
      <w:r>
        <w:rPr>
          <w:color w:val="auto"/>
          <w:sz w:val="28"/>
          <w:szCs w:val="28"/>
          <w:highlight w:val="white"/>
        </w:rPr>
        <w:t xml:space="preserve">я</w:t>
      </w:r>
      <w:r>
        <w:rPr>
          <w:color w:val="auto"/>
          <w:sz w:val="28"/>
          <w:szCs w:val="28"/>
          <w:highlight w:val="white"/>
        </w:rPr>
        <w:t xml:space="preserve">ет</w:t>
      </w:r>
      <w:r>
        <w:rPr>
          <w:color w:val="auto"/>
          <w:highlight w:val="white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29 050 828,9</w:t>
      </w:r>
      <w:r>
        <w:rPr>
          <w:b/>
          <w:bCs/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тыс. руб</w:t>
      </w:r>
      <w:r>
        <w:rPr>
          <w:color w:val="auto"/>
          <w:sz w:val="28"/>
          <w:szCs w:val="28"/>
          <w:highlight w:val="white"/>
        </w:rPr>
        <w:t xml:space="preserve">., </w:t>
      </w:r>
      <w:r>
        <w:rPr>
          <w:color w:val="auto"/>
          <w:sz w:val="28"/>
          <w:szCs w:val="28"/>
          <w:highlight w:val="white"/>
        </w:rPr>
        <w:t xml:space="preserve">или </w:t>
      </w:r>
      <w:r>
        <w:rPr>
          <w:b/>
          <w:color w:val="auto"/>
          <w:sz w:val="28"/>
          <w:szCs w:val="28"/>
        </w:rPr>
        <w:t xml:space="preserve">93,6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%</w:t>
      </w:r>
      <w:r>
        <w:rPr>
          <w:color w:val="auto"/>
          <w:sz w:val="28"/>
          <w:szCs w:val="28"/>
          <w:highlight w:val="white"/>
        </w:rPr>
        <w:t xml:space="preserve"> от кассового</w:t>
      </w:r>
      <w:r>
        <w:rPr>
          <w:color w:val="auto"/>
          <w:sz w:val="28"/>
          <w:szCs w:val="28"/>
          <w:highlight w:val="white"/>
        </w:rPr>
        <w:t xml:space="preserve"> план</w:t>
      </w:r>
      <w:r>
        <w:rPr>
          <w:color w:val="auto"/>
          <w:sz w:val="28"/>
          <w:szCs w:val="28"/>
          <w:highlight w:val="white"/>
        </w:rPr>
        <w:t xml:space="preserve">а отчетного периода –           </w:t>
      </w:r>
      <w:r>
        <w:rPr>
          <w:color w:val="auto"/>
          <w:sz w:val="28"/>
          <w:szCs w:val="28"/>
          <w:highlight w:val="white"/>
        </w:rPr>
        <w:t xml:space="preserve">31 050 067,9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тыс. руб</w:t>
      </w:r>
      <w:r>
        <w:rPr>
          <w:color w:val="auto"/>
          <w:sz w:val="28"/>
          <w:szCs w:val="28"/>
          <w:highlight w:val="white"/>
        </w:rPr>
        <w:t xml:space="preserve">. </w:t>
      </w:r>
      <w:r>
        <w:rPr>
          <w:color w:val="auto"/>
          <w:sz w:val="28"/>
          <w:szCs w:val="28"/>
          <w:highlight w:val="white"/>
        </w:rPr>
        <w:t xml:space="preserve">и </w:t>
      </w:r>
      <w:r>
        <w:rPr>
          <w:b/>
          <w:color w:val="auto"/>
          <w:sz w:val="28"/>
          <w:szCs w:val="28"/>
        </w:rPr>
        <w:t xml:space="preserve">70,1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%</w:t>
      </w:r>
      <w:r>
        <w:rPr>
          <w:color w:val="auto"/>
          <w:sz w:val="28"/>
          <w:szCs w:val="28"/>
          <w:highlight w:val="white"/>
        </w:rPr>
        <w:t xml:space="preserve"> от год</w:t>
      </w:r>
      <w:r>
        <w:rPr>
          <w:color w:val="auto"/>
          <w:sz w:val="28"/>
          <w:szCs w:val="28"/>
          <w:highlight w:val="white"/>
        </w:rPr>
        <w:t xml:space="preserve">овых</w:t>
      </w:r>
      <w:r>
        <w:rPr>
          <w:color w:val="auto"/>
          <w:sz w:val="28"/>
          <w:szCs w:val="28"/>
          <w:highlight w:val="white"/>
        </w:rPr>
        <w:t xml:space="preserve"> а</w:t>
      </w:r>
      <w:r>
        <w:rPr>
          <w:color w:val="auto"/>
          <w:sz w:val="28"/>
          <w:szCs w:val="28"/>
          <w:highlight w:val="white"/>
        </w:rPr>
        <w:t xml:space="preserve">сси</w:t>
      </w:r>
      <w:r>
        <w:rPr>
          <w:color w:val="auto"/>
          <w:sz w:val="28"/>
          <w:szCs w:val="28"/>
          <w:highlight w:val="white"/>
        </w:rPr>
        <w:t xml:space="preserve">гнований. </w:t>
      </w:r>
      <w:r>
        <w:rPr>
          <w:color w:val="auto"/>
          <w:sz w:val="28"/>
          <w:szCs w:val="28"/>
          <w:highlight w:val="white"/>
        </w:rPr>
        <w:t xml:space="preserve">Исполнение расходов                      за январь-</w:t>
      </w:r>
      <w:r>
        <w:rPr>
          <w:color w:val="auto"/>
          <w:sz w:val="28"/>
          <w:szCs w:val="28"/>
          <w:highlight w:val="white"/>
        </w:rPr>
        <w:t xml:space="preserve">октябрь 2024 года составляло </w:t>
      </w:r>
      <w:r>
        <w:rPr>
          <w:color w:val="auto"/>
          <w:sz w:val="28"/>
          <w:szCs w:val="28"/>
          <w:highlight w:val="white"/>
        </w:rPr>
        <w:t xml:space="preserve">23 108</w:t>
      </w:r>
      <w:r>
        <w:rPr>
          <w:color w:val="auto"/>
          <w:sz w:val="28"/>
          <w:szCs w:val="28"/>
          <w:highlight w:val="white"/>
        </w:rPr>
        <w:t xml:space="preserve"> 828,6</w:t>
      </w:r>
      <w:r>
        <w:rPr>
          <w:color w:val="auto"/>
          <w:sz w:val="28"/>
          <w:szCs w:val="28"/>
          <w:highlight w:val="white"/>
        </w:rPr>
        <w:t xml:space="preserve"> тыс. руб., </w:t>
      </w:r>
      <w:r>
        <w:rPr>
          <w:color w:val="auto"/>
          <w:sz w:val="28"/>
          <w:szCs w:val="28"/>
          <w:highlight w:val="white"/>
        </w:rPr>
        <w:t xml:space="preserve">или </w:t>
      </w:r>
      <w:r>
        <w:rPr>
          <w:b/>
          <w:color w:val="auto"/>
          <w:sz w:val="28"/>
          <w:szCs w:val="28"/>
        </w:rPr>
        <w:t xml:space="preserve">93,4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%                                </w:t>
      </w:r>
      <w:r>
        <w:rPr>
          <w:color w:val="auto"/>
          <w:sz w:val="28"/>
          <w:szCs w:val="28"/>
          <w:highlight w:val="white"/>
        </w:rPr>
        <w:t xml:space="preserve">от к</w:t>
      </w:r>
      <w:r>
        <w:rPr>
          <w:color w:val="auto"/>
          <w:sz w:val="28"/>
          <w:szCs w:val="28"/>
          <w:highlight w:val="white"/>
        </w:rPr>
        <w:t xml:space="preserve">ассового</w:t>
      </w:r>
      <w:r>
        <w:rPr>
          <w:color w:val="auto"/>
          <w:sz w:val="28"/>
          <w:szCs w:val="28"/>
          <w:highlight w:val="white"/>
        </w:rPr>
        <w:t xml:space="preserve"> плана отчетного периода 2024 </w:t>
      </w:r>
      <w:r>
        <w:rPr>
          <w:color w:val="auto"/>
          <w:sz w:val="28"/>
          <w:szCs w:val="28"/>
          <w:highlight w:val="white"/>
        </w:rPr>
        <w:t xml:space="preserve">года и </w:t>
      </w:r>
      <w:r>
        <w:rPr>
          <w:b/>
          <w:color w:val="auto"/>
          <w:sz w:val="28"/>
          <w:szCs w:val="28"/>
        </w:rPr>
        <w:t xml:space="preserve">68,2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%</w:t>
      </w:r>
      <w:r>
        <w:rPr>
          <w:color w:val="auto"/>
          <w:sz w:val="28"/>
          <w:szCs w:val="28"/>
          <w:highlight w:val="white"/>
        </w:rPr>
        <w:t xml:space="preserve"> от годовых ассиг</w:t>
      </w:r>
      <w:r>
        <w:rPr>
          <w:color w:val="auto"/>
          <w:sz w:val="28"/>
          <w:szCs w:val="28"/>
          <w:highlight w:val="white"/>
        </w:rPr>
        <w:t xml:space="preserve">нований</w:t>
      </w:r>
      <w:r>
        <w:rPr>
          <w:color w:val="auto"/>
          <w:sz w:val="28"/>
          <w:szCs w:val="28"/>
          <w:highlight w:val="white"/>
        </w:rPr>
        <w:t xml:space="preserve">. </w:t>
      </w:r>
      <w:r>
        <w:rPr>
          <w:color w:val="auto"/>
          <w:sz w:val="28"/>
          <w:szCs w:val="28"/>
          <w:highlight w:val="white"/>
        </w:rPr>
        <w:t xml:space="preserve">  </w:t>
      </w:r>
      <w:r>
        <w:rPr>
          <w:color w:val="auto"/>
          <w:sz w:val="28"/>
          <w:szCs w:val="28"/>
          <w:highlight w:val="white"/>
        </w:rPr>
        <w:t xml:space="preserve">   </w:t>
      </w:r>
      <w:r>
        <w:rPr>
          <w:b/>
          <w:bCs/>
          <w:color w:val="auto"/>
          <w:sz w:val="20"/>
          <w:szCs w:val="20"/>
          <w:highlight w:val="white"/>
        </w:rPr>
        <w:t xml:space="preserve">       </w:t>
      </w:r>
      <w:r>
        <w:rPr>
          <w:b/>
          <w:bCs/>
          <w:color w:val="auto"/>
          <w:sz w:val="20"/>
          <w:szCs w:val="20"/>
          <w:highlight w:val="white"/>
        </w:rPr>
      </w:r>
      <w:r>
        <w:rPr>
          <w:b/>
          <w:bCs/>
          <w:color w:val="auto"/>
          <w:sz w:val="20"/>
          <w:szCs w:val="20"/>
          <w:highlight w:val="white"/>
        </w:rPr>
      </w:r>
    </w:p>
    <w:p>
      <w:pPr>
        <w:ind w:firstLine="709"/>
        <w:spacing w:line="240" w:lineRule="atLeast"/>
        <w:tabs>
          <w:tab w:val="right" w:pos="10488" w:leader="none"/>
        </w:tabs>
        <w:rPr>
          <w:b/>
          <w:bCs/>
          <w:color w:val="auto"/>
          <w:sz w:val="20"/>
          <w:szCs w:val="20"/>
          <w:highlight w:val="white"/>
        </w:rPr>
      </w:pPr>
      <w:r>
        <w:rPr>
          <w:b/>
          <w:bCs/>
          <w:color w:val="auto"/>
          <w:sz w:val="20"/>
          <w:szCs w:val="20"/>
          <w:highlight w:val="white"/>
        </w:rPr>
        <w:t xml:space="preserve">   </w:t>
      </w:r>
      <w:r>
        <w:rPr>
          <w:b/>
          <w:bCs/>
          <w:color w:val="auto"/>
          <w:sz w:val="16"/>
          <w:szCs w:val="20"/>
          <w:highlight w:val="white"/>
        </w:rPr>
        <w:t xml:space="preserve">   </w:t>
      </w:r>
      <w:r>
        <w:rPr>
          <w:b/>
          <w:bCs/>
          <w:color w:val="auto"/>
          <w:sz w:val="20"/>
          <w:szCs w:val="20"/>
          <w:highlight w:val="white"/>
        </w:rPr>
        <w:t xml:space="preserve">                                                                                                                          </w:t>
      </w:r>
      <w:r>
        <w:rPr>
          <w:b/>
          <w:bCs/>
          <w:color w:val="auto"/>
          <w:sz w:val="20"/>
          <w:szCs w:val="20"/>
          <w:highlight w:val="white"/>
        </w:rPr>
        <w:tab/>
      </w:r>
      <w:r>
        <w:rPr>
          <w:b/>
          <w:bCs/>
          <w:color w:val="auto"/>
          <w:sz w:val="20"/>
          <w:szCs w:val="20"/>
          <w:highlight w:val="white"/>
        </w:rPr>
      </w:r>
      <w:r>
        <w:rPr>
          <w:b/>
          <w:bCs/>
          <w:color w:val="auto"/>
          <w:sz w:val="20"/>
          <w:szCs w:val="20"/>
          <w:highlight w:val="white"/>
        </w:rPr>
      </w:r>
    </w:p>
    <w:p>
      <w:pPr>
        <w:ind w:firstLine="709"/>
        <w:spacing w:line="240" w:lineRule="atLeast"/>
        <w:rPr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highlight w:val="white"/>
        </w:rPr>
        <w:t xml:space="preserve">2.2. за счет средств, выделенных на исполнение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государственных полномочий, -</w:t>
      </w:r>
      <w:r>
        <w:rPr>
          <w:color w:val="auto"/>
          <w:sz w:val="28"/>
          <w:szCs w:val="28"/>
          <w:highlight w:val="white"/>
        </w:rPr>
        <w:t xml:space="preserve"> кассовое исполнение состав</w:t>
      </w:r>
      <w:r>
        <w:rPr>
          <w:color w:val="auto"/>
          <w:sz w:val="28"/>
          <w:szCs w:val="28"/>
          <w:highlight w:val="white"/>
        </w:rPr>
        <w:t xml:space="preserve">ля</w:t>
      </w:r>
      <w:r>
        <w:rPr>
          <w:color w:val="auto"/>
          <w:sz w:val="28"/>
          <w:szCs w:val="28"/>
          <w:highlight w:val="white"/>
        </w:rPr>
        <w:t xml:space="preserve">ет</w:t>
      </w:r>
      <w:r>
        <w:rPr>
          <w:color w:val="auto"/>
          <w:highlight w:val="white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14 361 764,3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тыс</w:t>
      </w:r>
      <w:r>
        <w:rPr>
          <w:color w:val="auto"/>
          <w:sz w:val="28"/>
          <w:szCs w:val="28"/>
          <w:highlight w:val="white"/>
        </w:rPr>
        <w:t xml:space="preserve">. руб., </w:t>
      </w:r>
      <w:r>
        <w:rPr>
          <w:color w:val="auto"/>
          <w:sz w:val="28"/>
          <w:szCs w:val="28"/>
          <w:highlight w:val="white"/>
        </w:rPr>
        <w:t xml:space="preserve">или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</w:rPr>
        <w:t xml:space="preserve">99,6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%</w:t>
      </w:r>
      <w:r>
        <w:rPr>
          <w:b/>
          <w:color w:val="auto"/>
          <w:sz w:val="28"/>
          <w:szCs w:val="28"/>
          <w:highlight w:val="white"/>
        </w:rPr>
        <w:t xml:space="preserve">               </w:t>
      </w:r>
      <w:r>
        <w:rPr>
          <w:b/>
          <w:color w:val="auto"/>
          <w:sz w:val="28"/>
          <w:szCs w:val="28"/>
          <w:highlight w:val="white"/>
        </w:rPr>
        <w:t xml:space="preserve">  </w:t>
      </w:r>
      <w:r>
        <w:rPr>
          <w:b/>
          <w:color w:val="auto"/>
          <w:sz w:val="28"/>
          <w:szCs w:val="28"/>
          <w:highlight w:val="white"/>
        </w:rPr>
        <w:t xml:space="preserve">     </w:t>
      </w:r>
      <w:r>
        <w:rPr>
          <w:color w:val="auto"/>
          <w:sz w:val="28"/>
          <w:szCs w:val="28"/>
          <w:highlight w:val="white"/>
        </w:rPr>
        <w:t xml:space="preserve">от кассового плана отчетного перио</w:t>
      </w:r>
      <w:r>
        <w:rPr>
          <w:color w:val="auto"/>
          <w:sz w:val="28"/>
          <w:szCs w:val="28"/>
          <w:highlight w:val="white"/>
        </w:rPr>
        <w:t xml:space="preserve">да –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14 420 762,5</w:t>
      </w:r>
      <w:r>
        <w:rPr>
          <w:color w:val="auto"/>
          <w:sz w:val="28"/>
          <w:szCs w:val="28"/>
          <w:highlight w:val="white"/>
        </w:rPr>
        <w:t xml:space="preserve"> тыс</w:t>
      </w:r>
      <w:r>
        <w:rPr>
          <w:color w:val="auto"/>
          <w:sz w:val="28"/>
          <w:szCs w:val="28"/>
          <w:highlight w:val="white"/>
        </w:rPr>
        <w:t xml:space="preserve">. руб</w:t>
      </w:r>
      <w:r>
        <w:rPr>
          <w:color w:val="auto"/>
          <w:sz w:val="28"/>
          <w:szCs w:val="28"/>
          <w:highlight w:val="white"/>
        </w:rPr>
        <w:t xml:space="preserve">. и </w:t>
      </w:r>
      <w:r>
        <w:rPr>
          <w:b/>
          <w:color w:val="auto"/>
          <w:sz w:val="28"/>
          <w:szCs w:val="28"/>
          <w:highlight w:val="none"/>
        </w:rPr>
        <w:t xml:space="preserve">81,0</w:t>
      </w:r>
      <w:r>
        <w:rPr>
          <w:b/>
          <w:color w:val="auto"/>
          <w:sz w:val="28"/>
          <w:szCs w:val="28"/>
          <w:highlight w:val="non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%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от</w:t>
      </w:r>
      <w:r>
        <w:rPr>
          <w:color w:val="auto"/>
          <w:sz w:val="28"/>
          <w:szCs w:val="28"/>
          <w:highlight w:val="white"/>
        </w:rPr>
        <w:t xml:space="preserve"> годов</w:t>
      </w:r>
      <w:r>
        <w:rPr>
          <w:color w:val="auto"/>
          <w:sz w:val="28"/>
          <w:szCs w:val="28"/>
          <w:highlight w:val="white"/>
        </w:rPr>
        <w:t xml:space="preserve">ы</w:t>
      </w:r>
      <w:r>
        <w:rPr>
          <w:color w:val="auto"/>
          <w:sz w:val="28"/>
          <w:szCs w:val="28"/>
          <w:highlight w:val="white"/>
        </w:rPr>
        <w:t xml:space="preserve">х ассигнований</w:t>
      </w:r>
      <w:r>
        <w:rPr>
          <w:color w:val="auto"/>
          <w:sz w:val="28"/>
          <w:szCs w:val="28"/>
          <w:highlight w:val="white"/>
        </w:rPr>
        <w:t xml:space="preserve">. </w:t>
      </w:r>
      <w:r>
        <w:rPr>
          <w:color w:val="auto"/>
          <w:sz w:val="28"/>
          <w:szCs w:val="28"/>
          <w:highlight w:val="white"/>
        </w:rPr>
        <w:t xml:space="preserve">Исполнение расходов за январь-</w:t>
      </w:r>
      <w:r>
        <w:rPr>
          <w:color w:val="auto"/>
          <w:sz w:val="28"/>
          <w:szCs w:val="28"/>
          <w:highlight w:val="white"/>
        </w:rPr>
        <w:t xml:space="preserve">октябрь 2024 года составляло                     </w:t>
      </w:r>
      <w:r>
        <w:rPr>
          <w:color w:val="auto"/>
          <w:sz w:val="28"/>
          <w:szCs w:val="28"/>
          <w:highlight w:val="white"/>
        </w:rPr>
        <w:t xml:space="preserve">12 261 451,8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тыс.</w:t>
      </w:r>
      <w:r>
        <w:rPr>
          <w:color w:val="auto"/>
          <w:sz w:val="28"/>
          <w:szCs w:val="28"/>
          <w:highlight w:val="white"/>
        </w:rPr>
        <w:t xml:space="preserve"> руб.,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ил</w:t>
      </w:r>
      <w:r>
        <w:rPr>
          <w:color w:val="auto"/>
          <w:sz w:val="28"/>
          <w:szCs w:val="28"/>
          <w:highlight w:val="white"/>
        </w:rPr>
        <w:t xml:space="preserve">и </w:t>
      </w:r>
      <w:r>
        <w:rPr>
          <w:b/>
          <w:color w:val="auto"/>
          <w:sz w:val="28"/>
          <w:szCs w:val="28"/>
        </w:rPr>
        <w:t xml:space="preserve">99,</w:t>
      </w:r>
      <w:r>
        <w:rPr>
          <w:b/>
          <w:color w:val="auto"/>
          <w:sz w:val="28"/>
          <w:szCs w:val="28"/>
          <w:highlight w:val="none"/>
        </w:rPr>
        <w:t xml:space="preserve">3 </w:t>
      </w:r>
      <w:r>
        <w:rPr>
          <w:b/>
          <w:color w:val="auto"/>
          <w:sz w:val="28"/>
          <w:szCs w:val="28"/>
          <w:highlight w:val="white"/>
        </w:rPr>
        <w:t xml:space="preserve">%</w:t>
      </w:r>
      <w:r>
        <w:rPr>
          <w:color w:val="auto"/>
          <w:sz w:val="28"/>
          <w:szCs w:val="28"/>
          <w:highlight w:val="white"/>
        </w:rPr>
        <w:t xml:space="preserve"> от</w:t>
      </w:r>
      <w:r>
        <w:rPr>
          <w:color w:val="auto"/>
          <w:sz w:val="28"/>
          <w:szCs w:val="28"/>
          <w:highlight w:val="white"/>
        </w:rPr>
        <w:t xml:space="preserve"> кассового плана</w:t>
      </w:r>
      <w:r>
        <w:rPr>
          <w:color w:val="auto"/>
          <w:sz w:val="28"/>
          <w:szCs w:val="28"/>
          <w:highlight w:val="white"/>
        </w:rPr>
        <w:t xml:space="preserve"> отчетного периода 2024 </w:t>
      </w:r>
      <w:r>
        <w:rPr>
          <w:color w:val="auto"/>
          <w:sz w:val="28"/>
          <w:szCs w:val="28"/>
          <w:highlight w:val="white"/>
        </w:rPr>
        <w:t xml:space="preserve">года                 </w:t>
      </w:r>
      <w:r>
        <w:rPr>
          <w:color w:val="auto"/>
          <w:sz w:val="28"/>
          <w:szCs w:val="28"/>
          <w:highlight w:val="white"/>
        </w:rPr>
        <w:t xml:space="preserve">и </w:t>
      </w:r>
      <w:r>
        <w:rPr>
          <w:b/>
          <w:bCs/>
          <w:color w:val="auto"/>
          <w:sz w:val="28"/>
          <w:szCs w:val="28"/>
        </w:rPr>
        <w:t xml:space="preserve">78,5</w:t>
      </w:r>
      <w:r>
        <w:rPr>
          <w:b/>
          <w:bCs/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%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от годовых ас</w:t>
      </w:r>
      <w:r>
        <w:rPr>
          <w:color w:val="auto"/>
          <w:sz w:val="28"/>
          <w:szCs w:val="28"/>
          <w:highlight w:val="white"/>
        </w:rPr>
        <w:t xml:space="preserve">сигнований. 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ind w:firstLine="709"/>
        <w:spacing w:line="240" w:lineRule="atLeast"/>
        <w:rPr>
          <w:color w:val="auto"/>
          <w:sz w:val="16"/>
          <w:szCs w:val="16"/>
          <w:highlight w:val="white"/>
        </w:rPr>
      </w:pPr>
      <w:r>
        <w:rPr>
          <w:color w:val="auto"/>
          <w:sz w:val="16"/>
          <w:szCs w:val="16"/>
          <w:highlight w:val="white"/>
        </w:rPr>
      </w:r>
      <w:r>
        <w:rPr>
          <w:color w:val="auto"/>
          <w:sz w:val="16"/>
          <w:szCs w:val="16"/>
          <w:highlight w:val="white"/>
        </w:rPr>
      </w:r>
      <w:r>
        <w:rPr>
          <w:color w:val="auto"/>
          <w:sz w:val="16"/>
          <w:szCs w:val="16"/>
          <w:highlight w:val="white"/>
        </w:rPr>
      </w:r>
    </w:p>
    <w:p>
      <w:pPr>
        <w:ind w:firstLine="720"/>
        <w:spacing w:line="240" w:lineRule="atLeast"/>
        <w:rPr>
          <w:color w:val="000000" w:themeColor="text1"/>
          <w:sz w:val="28"/>
          <w:szCs w:val="28"/>
          <w:highlight w:val="white"/>
        </w:rPr>
      </w:pPr>
      <w:r>
        <w:rPr>
          <w:b/>
          <w:color w:val="auto"/>
          <w:sz w:val="28"/>
          <w:highlight w:val="white"/>
        </w:rPr>
        <w:t xml:space="preserve">2.3. за счет средств, переданных из краевого бюджета на выполнение по</w:t>
      </w:r>
      <w:r>
        <w:rPr>
          <w:b/>
          <w:color w:val="auto"/>
          <w:sz w:val="28"/>
          <w:highlight w:val="white"/>
        </w:rPr>
        <w:t xml:space="preserve">лномочий городского округа, - </w:t>
      </w:r>
      <w:r>
        <w:rPr>
          <w:color w:val="auto"/>
          <w:sz w:val="28"/>
          <w:szCs w:val="28"/>
          <w:highlight w:val="white"/>
        </w:rPr>
        <w:t xml:space="preserve">кассовое исполнение </w:t>
      </w:r>
      <w:r>
        <w:rPr>
          <w:color w:val="auto"/>
          <w:sz w:val="28"/>
          <w:szCs w:val="28"/>
          <w:highlight w:val="white"/>
        </w:rPr>
        <w:t xml:space="preserve">сост</w:t>
      </w:r>
      <w:r>
        <w:rPr>
          <w:color w:val="auto"/>
          <w:sz w:val="28"/>
          <w:szCs w:val="28"/>
          <w:highlight w:val="white"/>
        </w:rPr>
        <w:t xml:space="preserve">а</w:t>
      </w:r>
      <w:r>
        <w:rPr>
          <w:color w:val="auto"/>
          <w:sz w:val="28"/>
          <w:szCs w:val="28"/>
          <w:highlight w:val="white"/>
        </w:rPr>
        <w:t xml:space="preserve">вляет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5 631 074,6</w:t>
      </w:r>
      <w:r>
        <w:rPr>
          <w:b/>
          <w:bCs/>
          <w:color w:val="auto"/>
          <w:sz w:val="28"/>
          <w:szCs w:val="28"/>
          <w:highlight w:val="white"/>
        </w:rPr>
        <w:t xml:space="preserve"> </w:t>
      </w:r>
      <w:r>
        <w:rPr>
          <w:b/>
          <w:bCs/>
          <w:color w:val="auto"/>
          <w:sz w:val="28"/>
          <w:szCs w:val="28"/>
          <w:highlight w:val="white"/>
        </w:rPr>
        <w:t xml:space="preserve">  </w:t>
      </w:r>
      <w:r>
        <w:rPr>
          <w:b/>
          <w:bCs/>
          <w:color w:val="auto"/>
          <w:sz w:val="28"/>
          <w:szCs w:val="28"/>
          <w:highlight w:val="white"/>
        </w:rPr>
        <w:t xml:space="preserve">   </w:t>
      </w:r>
      <w:r>
        <w:rPr>
          <w:b/>
          <w:bCs/>
          <w:color w:val="auto"/>
          <w:sz w:val="28"/>
          <w:szCs w:val="28"/>
          <w:highlight w:val="white"/>
        </w:rPr>
        <w:t xml:space="preserve">           </w:t>
      </w:r>
      <w:r>
        <w:rPr>
          <w:b/>
          <w:bCs/>
          <w:color w:val="auto"/>
          <w:sz w:val="28"/>
          <w:szCs w:val="28"/>
          <w:highlight w:val="white"/>
        </w:rPr>
        <w:t xml:space="preserve">      </w:t>
      </w:r>
      <w:r>
        <w:rPr>
          <w:color w:val="auto"/>
          <w:sz w:val="28"/>
          <w:szCs w:val="28"/>
          <w:highlight w:val="white"/>
        </w:rPr>
        <w:t xml:space="preserve">тыс. руб.,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и</w:t>
      </w:r>
      <w:r>
        <w:rPr>
          <w:color w:val="auto"/>
          <w:sz w:val="28"/>
          <w:szCs w:val="28"/>
          <w:highlight w:val="white"/>
        </w:rPr>
        <w:t xml:space="preserve">ли </w:t>
      </w:r>
      <w:r>
        <w:rPr>
          <w:b/>
          <w:color w:val="auto"/>
          <w:sz w:val="28"/>
          <w:szCs w:val="28"/>
        </w:rPr>
        <w:t xml:space="preserve">95,0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%</w:t>
      </w:r>
      <w:r>
        <w:rPr>
          <w:color w:val="auto"/>
          <w:sz w:val="28"/>
          <w:szCs w:val="28"/>
          <w:highlight w:val="white"/>
        </w:rPr>
        <w:t xml:space="preserve"> от</w:t>
      </w:r>
      <w:r>
        <w:rPr>
          <w:color w:val="auto"/>
          <w:sz w:val="28"/>
          <w:szCs w:val="28"/>
          <w:highlight w:val="white"/>
        </w:rPr>
        <w:t xml:space="preserve"> кас</w:t>
      </w:r>
      <w:r>
        <w:rPr>
          <w:color w:val="auto"/>
          <w:sz w:val="28"/>
          <w:szCs w:val="28"/>
          <w:highlight w:val="white"/>
        </w:rPr>
        <w:t xml:space="preserve">сового плана отчетного периода – </w:t>
      </w:r>
      <w:r>
        <w:rPr>
          <w:color w:val="auto"/>
          <w:sz w:val="28"/>
          <w:szCs w:val="28"/>
          <w:highlight w:val="white"/>
        </w:rPr>
        <w:t xml:space="preserve">5 927 821,0</w:t>
      </w:r>
      <w:r>
        <w:rPr>
          <w:color w:val="auto"/>
          <w:sz w:val="28"/>
          <w:szCs w:val="28"/>
          <w:highlight w:val="white"/>
        </w:rPr>
        <w:t xml:space="preserve"> тыс. руб.                       </w:t>
      </w:r>
      <w:r>
        <w:rPr>
          <w:color w:val="auto"/>
          <w:sz w:val="28"/>
          <w:szCs w:val="28"/>
          <w:highlight w:val="white"/>
        </w:rPr>
        <w:t xml:space="preserve">и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</w:rPr>
        <w:t xml:space="preserve">55,9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%</w:t>
      </w:r>
      <w:r>
        <w:rPr>
          <w:color w:val="auto"/>
          <w:sz w:val="28"/>
          <w:szCs w:val="28"/>
          <w:highlight w:val="white"/>
        </w:rPr>
        <w:t xml:space="preserve"> от годовых</w:t>
      </w:r>
      <w:r>
        <w:rPr>
          <w:color w:val="auto"/>
          <w:sz w:val="28"/>
          <w:szCs w:val="28"/>
          <w:highlight w:val="white"/>
        </w:rPr>
        <w:t xml:space="preserve"> ассигнований. </w:t>
      </w:r>
      <w:r>
        <w:rPr>
          <w:color w:val="auto"/>
          <w:sz w:val="28"/>
          <w:szCs w:val="28"/>
          <w:highlight w:val="white"/>
        </w:rPr>
        <w:t xml:space="preserve">Исполнение расходов за</w:t>
      </w:r>
      <w:r>
        <w:rPr>
          <w:color w:val="auto"/>
          <w:sz w:val="28"/>
          <w:szCs w:val="28"/>
          <w:highlight w:val="white"/>
        </w:rPr>
        <w:t xml:space="preserve"> январь-</w:t>
      </w:r>
      <w:r>
        <w:rPr>
          <w:color w:val="auto"/>
          <w:sz w:val="28"/>
          <w:szCs w:val="28"/>
          <w:highlight w:val="white"/>
        </w:rPr>
        <w:t xml:space="preserve">октябрь 2024 года составля</w:t>
      </w:r>
      <w:r>
        <w:rPr>
          <w:color w:val="auto"/>
          <w:sz w:val="28"/>
          <w:szCs w:val="28"/>
          <w:highlight w:val="white"/>
        </w:rPr>
        <w:t xml:space="preserve">ло </w:t>
      </w:r>
      <w:r>
        <w:rPr>
          <w:color w:val="auto"/>
          <w:sz w:val="28"/>
          <w:szCs w:val="28"/>
          <w:highlight w:val="white"/>
        </w:rPr>
        <w:t xml:space="preserve">7 405 428,0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тыс. ру</w:t>
      </w:r>
      <w:r>
        <w:rPr>
          <w:color w:val="auto"/>
          <w:sz w:val="28"/>
          <w:szCs w:val="28"/>
          <w:highlight w:val="white"/>
        </w:rPr>
        <w:t xml:space="preserve">б., </w:t>
      </w:r>
      <w:r>
        <w:rPr>
          <w:color w:val="auto"/>
          <w:sz w:val="28"/>
          <w:szCs w:val="28"/>
          <w:highlight w:val="white"/>
        </w:rPr>
        <w:t xml:space="preserve">или </w:t>
      </w:r>
      <w:r>
        <w:rPr>
          <w:b/>
          <w:bCs/>
          <w:color w:val="auto"/>
          <w:sz w:val="28"/>
          <w:szCs w:val="28"/>
        </w:rPr>
        <w:t xml:space="preserve">96,4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% </w:t>
      </w:r>
      <w:r>
        <w:rPr>
          <w:color w:val="auto"/>
          <w:sz w:val="28"/>
          <w:szCs w:val="28"/>
          <w:highlight w:val="white"/>
        </w:rPr>
        <w:t xml:space="preserve">от кассового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плана отчетного периода 2024 года </w:t>
      </w:r>
      <w:r>
        <w:rPr>
          <w:color w:val="auto"/>
          <w:sz w:val="28"/>
          <w:szCs w:val="28"/>
          <w:highlight w:val="white"/>
        </w:rPr>
        <w:t xml:space="preserve">и </w:t>
      </w:r>
      <w:r>
        <w:rPr>
          <w:b/>
          <w:color w:val="auto"/>
          <w:sz w:val="28"/>
          <w:szCs w:val="28"/>
          <w:highlight w:val="white"/>
        </w:rPr>
        <w:t xml:space="preserve">73,2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% </w:t>
      </w:r>
      <w:r>
        <w:rPr>
          <w:color w:val="auto"/>
          <w:sz w:val="28"/>
          <w:szCs w:val="28"/>
          <w:highlight w:val="white"/>
        </w:rPr>
        <w:t xml:space="preserve">от годовых ассиг</w:t>
      </w:r>
      <w:r>
        <w:rPr>
          <w:color w:val="auto"/>
          <w:sz w:val="28"/>
          <w:szCs w:val="28"/>
          <w:highlight w:val="white"/>
        </w:rPr>
        <w:t xml:space="preserve">нован</w:t>
      </w:r>
      <w:r>
        <w:rPr>
          <w:color w:val="000000" w:themeColor="text1"/>
          <w:sz w:val="28"/>
          <w:szCs w:val="28"/>
          <w:highlight w:val="white"/>
        </w:rPr>
        <w:t xml:space="preserve">ий.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spacing w:line="240" w:lineRule="auto"/>
        <w:rPr>
          <w:color w:val="auto"/>
          <w:sz w:val="20"/>
          <w:szCs w:val="20"/>
          <w:highlight w:val="white"/>
        </w:rPr>
      </w:pPr>
      <w:r>
        <w:rPr>
          <w:color w:val="auto"/>
          <w:sz w:val="20"/>
          <w:szCs w:val="20"/>
          <w:highlight w:val="white"/>
        </w:rPr>
      </w:r>
      <w:r>
        <w:rPr>
          <w:color w:val="auto"/>
          <w:sz w:val="20"/>
          <w:szCs w:val="20"/>
          <w:highlight w:val="white"/>
        </w:rPr>
      </w:r>
      <w:r>
        <w:rPr>
          <w:color w:val="auto"/>
          <w:sz w:val="20"/>
          <w:szCs w:val="20"/>
          <w:highlight w:val="white"/>
        </w:rPr>
      </w:r>
    </w:p>
    <w:p>
      <w:pPr>
        <w:ind w:firstLine="709"/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white"/>
        </w:rPr>
        <w:t xml:space="preserve">Расходная часть бюджета за январь-</w:t>
      </w:r>
      <w:r>
        <w:rPr>
          <w:color w:val="auto"/>
          <w:sz w:val="28"/>
          <w:szCs w:val="28"/>
          <w:highlight w:val="white"/>
        </w:rPr>
        <w:t xml:space="preserve">октябрь 2025 года по источникам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финансирования в разрезе главных распорядителей бюджетных средств исполнена следующим образом.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spacing w:line="240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2.1. Исполнение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color w:val="000000" w:themeColor="text1"/>
          <w:sz w:val="28"/>
          <w:szCs w:val="28"/>
          <w:highlight w:val="white"/>
        </w:rPr>
        <w:t xml:space="preserve">расходов местного бюджета: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spacing w:line="240" w:lineRule="auto"/>
        <w:tabs>
          <w:tab w:val="num" w:pos="720" w:leader="none"/>
        </w:tabs>
        <w:rPr>
          <w:b/>
          <w:color w:val="000000" w:themeColor="text1"/>
          <w:sz w:val="16"/>
          <w:szCs w:val="16"/>
          <w:highlight w:val="white"/>
        </w:rPr>
      </w:pPr>
      <w:r>
        <w:rPr>
          <w:b/>
          <w:color w:val="000000" w:themeColor="text1"/>
          <w:sz w:val="16"/>
          <w:szCs w:val="16"/>
          <w:highlight w:val="white"/>
        </w:rPr>
      </w:r>
      <w:r>
        <w:rPr>
          <w:b/>
          <w:color w:val="000000" w:themeColor="text1"/>
          <w:sz w:val="16"/>
          <w:szCs w:val="16"/>
          <w:highlight w:val="white"/>
        </w:rPr>
      </w:r>
      <w:r>
        <w:rPr>
          <w:b/>
          <w:color w:val="000000" w:themeColor="text1"/>
          <w:sz w:val="16"/>
          <w:szCs w:val="16"/>
          <w:highlight w:val="white"/>
        </w:rPr>
      </w:r>
    </w:p>
    <w:p>
      <w:pPr>
        <w:ind w:firstLine="709"/>
        <w:spacing w:line="240" w:lineRule="auto"/>
        <w:tabs>
          <w:tab w:val="num" w:pos="720" w:leader="none"/>
        </w:tabs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выше 95,0 % </w:t>
      </w:r>
      <w:r>
        <w:rPr>
          <w:color w:val="000000" w:themeColor="text1"/>
          <w:sz w:val="28"/>
          <w:szCs w:val="28"/>
          <w:highlight w:val="white"/>
        </w:rPr>
        <w:t xml:space="preserve">обеспечено следующими главными распорядителями бюджетных средств: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34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управлением записи актов гражданского состояния – на уровне </w:t>
      </w:r>
      <w:r>
        <w:rPr>
          <w:color w:val="auto"/>
          <w:sz w:val="28"/>
          <w:szCs w:val="28"/>
        </w:rPr>
        <w:t xml:space="preserve">100,0 %;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39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администрацией Орджоникидзевского района – на уровне</w:t>
      </w:r>
      <w:r>
        <w:rPr>
          <w:color w:val="auto"/>
          <w:sz w:val="40"/>
          <w:szCs w:val="40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36"/>
          <w:u w:val="none"/>
        </w:rPr>
        <w:t xml:space="preserve">99,95</w:t>
      </w:r>
      <w:r>
        <w:rPr>
          <w:color w:val="auto"/>
          <w:sz w:val="40"/>
          <w:szCs w:val="40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56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  <w:t xml:space="preserve">комитетом по физической культуре и спорту – на уровне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99,8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37"/>
        </w:numPr>
        <w:jc w:val="left"/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департаментом социальной политики – на уровне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99,5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36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highlight w:val="white"/>
        </w:rPr>
        <w:t xml:space="preserve">администраци</w:t>
      </w:r>
      <w:r>
        <w:rPr>
          <w:color w:val="auto"/>
          <w:sz w:val="28"/>
          <w:highlight w:val="white"/>
        </w:rPr>
        <w:t xml:space="preserve">ей</w:t>
      </w:r>
      <w:r>
        <w:rPr>
          <w:color w:val="auto"/>
          <w:sz w:val="28"/>
          <w:highlight w:val="white"/>
        </w:rPr>
        <w:t xml:space="preserve"> Свердловского района – на уровне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99,0</w:t>
      </w:r>
      <w:r>
        <w:rPr>
          <w:color w:val="auto"/>
          <w:sz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36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</w:r>
      <w:r>
        <w:rPr>
          <w:color w:val="auto"/>
          <w:sz w:val="28"/>
          <w:szCs w:val="28"/>
          <w:highlight w:val="white"/>
        </w:rPr>
        <w:t xml:space="preserve">департаментом финансов – на уровне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98,9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55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  <w:t xml:space="preserve">администраци</w:t>
      </w:r>
      <w:r>
        <w:rPr>
          <w:color w:val="auto"/>
          <w:sz w:val="28"/>
          <w:szCs w:val="28"/>
          <w:highlight w:val="white"/>
        </w:rPr>
        <w:t xml:space="preserve">ей</w:t>
      </w:r>
      <w:r>
        <w:rPr>
          <w:color w:val="auto"/>
          <w:sz w:val="28"/>
          <w:szCs w:val="28"/>
          <w:highlight w:val="white"/>
        </w:rPr>
        <w:t xml:space="preserve"> города – на уровне </w:t>
      </w:r>
      <w:r>
        <w:rPr>
          <w:color w:val="auto"/>
          <w:sz w:val="28"/>
          <w:szCs w:val="28"/>
          <w:highlight w:val="white"/>
        </w:rPr>
        <w:t xml:space="preserve">98,63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34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</w:rPr>
        <w:t xml:space="preserve">департаментом градостроительства и архитектуры </w:t>
      </w:r>
      <w:r>
        <w:rPr>
          <w:color w:val="auto"/>
          <w:sz w:val="28"/>
          <w:szCs w:val="28"/>
          <w:highlight w:val="white"/>
        </w:rPr>
        <w:t xml:space="preserve">– на уровне </w:t>
      </w:r>
      <w:r>
        <w:rPr>
          <w:color w:val="auto"/>
          <w:sz w:val="28"/>
          <w:szCs w:val="28"/>
          <w:highlight w:val="white"/>
        </w:rPr>
        <w:t xml:space="preserve">98,62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38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  <w:t xml:space="preserve">департамент</w:t>
      </w:r>
      <w:r>
        <w:rPr>
          <w:color w:val="auto"/>
          <w:sz w:val="28"/>
          <w:szCs w:val="28"/>
          <w:highlight w:val="white"/>
        </w:rPr>
        <w:t xml:space="preserve">ом</w:t>
      </w:r>
      <w:r>
        <w:rPr>
          <w:color w:val="auto"/>
          <w:sz w:val="28"/>
          <w:szCs w:val="28"/>
          <w:highlight w:val="white"/>
        </w:rPr>
        <w:t xml:space="preserve"> дорог и благоустройства – на уровне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98,1</w:t>
      </w:r>
      <w:r>
        <w:rPr>
          <w:color w:val="auto"/>
          <w:sz w:val="28"/>
          <w:szCs w:val="28"/>
          <w:highlight w:val="white"/>
        </w:rPr>
        <w:t xml:space="preserve"> %</w:t>
      </w:r>
      <w:r>
        <w:rPr>
          <w:color w:val="auto"/>
          <w:sz w:val="28"/>
          <w:szCs w:val="28"/>
          <w:highlight w:val="none"/>
        </w:rPr>
        <w:t xml:space="preserve">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54"/>
        </w:numPr>
        <w:spacing w:line="240" w:lineRule="auto"/>
        <w:rPr>
          <w:color w:val="c00000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администраци</w:t>
      </w:r>
      <w:r>
        <w:rPr>
          <w:color w:val="auto"/>
          <w:sz w:val="28"/>
          <w:szCs w:val="28"/>
          <w:highlight w:val="white"/>
        </w:rPr>
        <w:t xml:space="preserve">ей</w:t>
      </w:r>
      <w:r>
        <w:rPr>
          <w:color w:val="auto"/>
          <w:sz w:val="28"/>
          <w:szCs w:val="28"/>
          <w:highlight w:val="white"/>
        </w:rPr>
        <w:t xml:space="preserve"> Дзержинского района – на уровне </w:t>
      </w:r>
      <w:r>
        <w:rPr>
          <w:color w:val="auto"/>
          <w:sz w:val="28"/>
          <w:szCs w:val="28"/>
          <w:highlight w:val="white"/>
        </w:rPr>
        <w:t xml:space="preserve">97,9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c00000"/>
          <w:sz w:val="28"/>
          <w:szCs w:val="28"/>
          <w:highlight w:val="white"/>
        </w:rPr>
      </w:r>
      <w:r>
        <w:rPr>
          <w:color w:val="c00000"/>
          <w:sz w:val="28"/>
          <w:szCs w:val="28"/>
          <w:highlight w:val="white"/>
        </w:rPr>
      </w:r>
    </w:p>
    <w:p>
      <w:pPr>
        <w:numPr>
          <w:ilvl w:val="0"/>
          <w:numId w:val="49"/>
        </w:numPr>
        <w:spacing w:line="240" w:lineRule="auto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</w:r>
      <w:r>
        <w:rPr>
          <w:color w:val="auto"/>
          <w:sz w:val="28"/>
          <w:szCs w:val="28"/>
          <w:highlight w:val="white"/>
        </w:rPr>
        <w:t xml:space="preserve">департаментом культуры и молодежной политики – на уровне </w:t>
      </w:r>
      <w:r>
        <w:rPr>
          <w:color w:val="auto"/>
          <w:sz w:val="28"/>
          <w:szCs w:val="28"/>
          <w:highlight w:val="white"/>
        </w:rPr>
        <w:t xml:space="preserve">97,2</w:t>
      </w:r>
      <w:r>
        <w:rPr>
          <w:color w:val="auto"/>
          <w:sz w:val="28"/>
          <w:szCs w:val="28"/>
          <w:highlight w:val="white"/>
        </w:rPr>
        <w:t xml:space="preserve"> %</w:t>
      </w:r>
      <w:r>
        <w:rPr>
          <w:color w:val="auto"/>
          <w:sz w:val="28"/>
          <w:szCs w:val="28"/>
        </w:rPr>
        <w:t xml:space="preserve">;</w:t>
      </w:r>
      <w:r>
        <w:rPr>
          <w:color w:val="c00000"/>
          <w:sz w:val="28"/>
          <w:szCs w:val="28"/>
        </w:rPr>
      </w:r>
      <w:r>
        <w:rPr>
          <w:color w:val="c00000"/>
          <w:sz w:val="28"/>
          <w:szCs w:val="28"/>
        </w:rPr>
      </w:r>
    </w:p>
    <w:p>
      <w:pPr>
        <w:numPr>
          <w:ilvl w:val="0"/>
          <w:numId w:val="2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  <w:t xml:space="preserve">администрацией п. Новые </w:t>
      </w:r>
      <w:r>
        <w:rPr>
          <w:color w:val="auto"/>
          <w:sz w:val="28"/>
          <w:szCs w:val="28"/>
          <w:highlight w:val="white"/>
        </w:rPr>
        <w:t xml:space="preserve">Ляды</w:t>
      </w:r>
      <w:r>
        <w:rPr>
          <w:color w:val="auto"/>
          <w:sz w:val="28"/>
          <w:szCs w:val="28"/>
          <w:highlight w:val="white"/>
        </w:rPr>
        <w:t xml:space="preserve"> – на уровне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96,5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46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администраци</w:t>
      </w:r>
      <w:r>
        <w:rPr>
          <w:color w:val="auto"/>
          <w:sz w:val="28"/>
          <w:szCs w:val="28"/>
          <w:highlight w:val="white"/>
        </w:rPr>
        <w:t xml:space="preserve">ей Кировского района – на уровне </w:t>
      </w:r>
      <w:r>
        <w:rPr>
          <w:color w:val="auto"/>
          <w:sz w:val="28"/>
          <w:szCs w:val="28"/>
          <w:highlight w:val="white"/>
        </w:rPr>
        <w:t xml:space="preserve">96,4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40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департаментом образования – на уровне </w:t>
      </w:r>
      <w:r>
        <w:rPr>
          <w:color w:val="auto"/>
          <w:sz w:val="28"/>
          <w:szCs w:val="28"/>
          <w:highlight w:val="white"/>
        </w:rPr>
        <w:t xml:space="preserve">95,5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51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  <w:t xml:space="preserve">департаментом экономики и промышленной политики – на уровне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95,0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ind w:left="360" w:firstLine="0"/>
        <w:spacing w:line="240" w:lineRule="auto"/>
        <w:rPr>
          <w:b/>
          <w:bCs/>
          <w:color w:val="c00000"/>
          <w:sz w:val="16"/>
          <w:szCs w:val="16"/>
          <w:highlight w:val="white"/>
        </w:rPr>
      </w:pPr>
      <w:r>
        <w:rPr>
          <w:b/>
          <w:color w:val="c00000"/>
          <w:sz w:val="16"/>
          <w:szCs w:val="16"/>
          <w:highlight w:val="none"/>
        </w:rPr>
      </w:r>
      <w:r>
        <w:rPr>
          <w:b/>
          <w:bCs/>
          <w:color w:val="c00000"/>
          <w:sz w:val="16"/>
          <w:szCs w:val="16"/>
          <w:highlight w:val="white"/>
        </w:rPr>
      </w:r>
      <w:r>
        <w:rPr>
          <w:b/>
          <w:bCs/>
          <w:color w:val="c00000"/>
          <w:sz w:val="16"/>
          <w:szCs w:val="16"/>
          <w:highlight w:val="white"/>
        </w:rPr>
      </w:r>
    </w:p>
    <w:p>
      <w:pPr>
        <w:ind w:left="0" w:firstLine="0"/>
        <w:spacing w:line="240" w:lineRule="auto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highlight w:val="none"/>
        </w:rPr>
        <w:t xml:space="preserve">       </w:t>
      </w:r>
      <w:r>
        <w:rPr>
          <w:b/>
          <w:color w:val="000000" w:themeColor="text1"/>
          <w:sz w:val="28"/>
          <w:highlight w:val="white"/>
        </w:rPr>
        <w:t xml:space="preserve">ниже уровня 95,0 %</w:t>
      </w:r>
      <w:r>
        <w:rPr>
          <w:color w:val="000000" w:themeColor="text1"/>
          <w:sz w:val="28"/>
          <w:highlight w:val="white"/>
        </w:rPr>
        <w:t xml:space="preserve"> сложилось исполнение </w:t>
      </w:r>
      <w:r>
        <w:rPr>
          <w:color w:val="000000" w:themeColor="text1"/>
          <w:sz w:val="28"/>
          <w:szCs w:val="28"/>
          <w:highlight w:val="white"/>
        </w:rPr>
        <w:t xml:space="preserve">у следующих главных распорядителей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left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бюджетных средств: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numPr>
          <w:ilvl w:val="0"/>
          <w:numId w:val="2"/>
        </w:numPr>
        <w:spacing w:line="240" w:lineRule="auto"/>
        <w:rPr>
          <w:b/>
          <w:bCs/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</w:rPr>
        <w:t xml:space="preserve">контрольн</w:t>
      </w:r>
      <w:r>
        <w:rPr>
          <w:color w:val="auto"/>
          <w:sz w:val="28"/>
          <w:szCs w:val="28"/>
        </w:rPr>
        <w:t xml:space="preserve">ого департамент</w:t>
      </w:r>
      <w:r>
        <w:rPr>
          <w:color w:val="auto"/>
          <w:sz w:val="28"/>
          <w:szCs w:val="28"/>
        </w:rPr>
        <w:t xml:space="preserve">а </w:t>
      </w:r>
      <w:r>
        <w:rPr>
          <w:color w:val="auto"/>
          <w:sz w:val="28"/>
          <w:szCs w:val="28"/>
          <w:highlight w:val="white"/>
        </w:rPr>
        <w:t xml:space="preserve">– на уровне </w:t>
      </w:r>
      <w:r>
        <w:rPr>
          <w:color w:val="auto"/>
          <w:sz w:val="28"/>
          <w:szCs w:val="28"/>
          <w:highlight w:val="white"/>
        </w:rPr>
        <w:t xml:space="preserve">94,3</w:t>
      </w:r>
      <w:r>
        <w:rPr>
          <w:color w:val="auto"/>
          <w:sz w:val="28"/>
          <w:szCs w:val="28"/>
          <w:highlight w:val="white"/>
        </w:rPr>
        <w:t xml:space="preserve"> %</w:t>
      </w:r>
      <w:r>
        <w:rPr>
          <w:color w:val="auto"/>
          <w:sz w:val="28"/>
          <w:szCs w:val="28"/>
          <w:highlight w:val="white"/>
        </w:rPr>
        <w:t xml:space="preserve">;</w:t>
      </w:r>
      <w:r>
        <w:rPr>
          <w:b/>
          <w:bCs/>
          <w:color w:val="auto"/>
          <w:sz w:val="28"/>
          <w:szCs w:val="28"/>
          <w:highlight w:val="white"/>
        </w:rPr>
      </w:r>
      <w:r>
        <w:rPr>
          <w:b/>
          <w:bCs/>
          <w:color w:val="auto"/>
          <w:sz w:val="28"/>
          <w:szCs w:val="28"/>
          <w:highlight w:val="white"/>
        </w:rPr>
      </w:r>
    </w:p>
    <w:p>
      <w:pPr>
        <w:numPr>
          <w:ilvl w:val="0"/>
          <w:numId w:val="14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  <w:t xml:space="preserve">администраци</w:t>
      </w:r>
      <w:r>
        <w:rPr>
          <w:color w:val="auto"/>
          <w:sz w:val="28"/>
          <w:szCs w:val="28"/>
          <w:highlight w:val="white"/>
        </w:rPr>
        <w:t xml:space="preserve">и Мотовилихинского района – на уровне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93,5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51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департамента общественной безопасности – на уровне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92,9</w:t>
      </w:r>
      <w:r>
        <w:rPr>
          <w:color w:val="auto"/>
          <w:sz w:val="28"/>
          <w:szCs w:val="28"/>
          <w:highlight w:val="white"/>
        </w:rPr>
        <w:t xml:space="preserve"> %</w:t>
      </w:r>
      <w:r>
        <w:rPr>
          <w:color w:val="auto"/>
          <w:sz w:val="28"/>
          <w:szCs w:val="28"/>
        </w:rPr>
        <w:t xml:space="preserve">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42"/>
        </w:numPr>
        <w:spacing w:line="240" w:lineRule="atLeast"/>
        <w:tabs>
          <w:tab w:val="num" w:pos="720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управления </w:t>
      </w:r>
      <w:r>
        <w:rPr>
          <w:color w:val="auto"/>
          <w:sz w:val="28"/>
          <w:szCs w:val="28"/>
          <w:highlight w:val="white"/>
        </w:rPr>
        <w:t xml:space="preserve">жилищных отношений – на уровне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92,8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47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</w:rPr>
        <w:t xml:space="preserve">департамента транспорта </w:t>
      </w:r>
      <w:r>
        <w:rPr>
          <w:color w:val="auto"/>
          <w:sz w:val="28"/>
          <w:szCs w:val="28"/>
          <w:highlight w:val="white"/>
        </w:rPr>
        <w:t xml:space="preserve">– на уровне </w:t>
      </w:r>
      <w:r>
        <w:rPr>
          <w:color w:val="auto"/>
          <w:sz w:val="28"/>
          <w:szCs w:val="28"/>
          <w:highlight w:val="white"/>
        </w:rPr>
        <w:t xml:space="preserve">91,6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4"/>
        </w:numPr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Пермской городской Думы – на уровне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90,9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4"/>
        </w:numPr>
        <w:spacing w:line="240" w:lineRule="atLeast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департамента земельных отношений – на уровне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90,3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43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</w:rPr>
        <w:t xml:space="preserve">контрольно-счетной палат</w:t>
      </w:r>
      <w:r>
        <w:rPr>
          <w:color w:val="auto"/>
          <w:sz w:val="28"/>
          <w:szCs w:val="28"/>
        </w:rPr>
        <w:t xml:space="preserve">ы </w:t>
      </w:r>
      <w:r>
        <w:rPr>
          <w:color w:val="auto"/>
          <w:sz w:val="28"/>
          <w:szCs w:val="28"/>
        </w:rPr>
        <w:t xml:space="preserve">города </w:t>
      </w:r>
      <w:r>
        <w:rPr>
          <w:color w:val="auto"/>
          <w:sz w:val="28"/>
          <w:szCs w:val="28"/>
          <w:highlight w:val="white"/>
        </w:rPr>
        <w:t xml:space="preserve">– на уровне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87,8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38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  <w:t xml:space="preserve">администрации Ленинского района – на уровне </w:t>
      </w:r>
      <w:r>
        <w:rPr>
          <w:color w:val="auto"/>
          <w:sz w:val="28"/>
          <w:szCs w:val="28"/>
          <w:highlight w:val="white"/>
        </w:rPr>
        <w:t xml:space="preserve">87,702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49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</w:rPr>
        <w:t xml:space="preserve">управления капитального строительства </w:t>
      </w:r>
      <w:r>
        <w:rPr>
          <w:color w:val="auto"/>
          <w:sz w:val="28"/>
          <w:szCs w:val="28"/>
          <w:highlight w:val="white"/>
        </w:rPr>
        <w:t xml:space="preserve">–  на уровне </w:t>
      </w:r>
      <w:r>
        <w:rPr>
          <w:color w:val="auto"/>
          <w:sz w:val="28"/>
          <w:szCs w:val="28"/>
          <w:highlight w:val="white"/>
        </w:rPr>
        <w:t xml:space="preserve">87,698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38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  <w:t xml:space="preserve">администрации Индустриального района – на уровне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85,1</w:t>
      </w:r>
      <w:r>
        <w:rPr>
          <w:color w:val="auto"/>
          <w:sz w:val="28"/>
          <w:szCs w:val="28"/>
          <w:highlight w:val="white"/>
        </w:rPr>
        <w:t xml:space="preserve"> %;</w:t>
      </w:r>
      <w:bookmarkStart w:id="0" w:name="undefined"/>
      <w:r>
        <w:rPr>
          <w:color w:val="auto"/>
        </w:rPr>
      </w:r>
      <w:bookmarkEnd w:id="0"/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4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управления по экологии и природопользованию – на уровне </w:t>
      </w:r>
      <w:r>
        <w:rPr>
          <w:color w:val="auto"/>
          <w:sz w:val="28"/>
          <w:szCs w:val="28"/>
          <w:highlight w:val="white"/>
        </w:rPr>
        <w:t xml:space="preserve">83,4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4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</w:rPr>
        <w:t xml:space="preserve">д</w:t>
      </w:r>
      <w:r>
        <w:rPr>
          <w:color w:val="auto"/>
          <w:sz w:val="28"/>
          <w:szCs w:val="28"/>
          <w:highlight w:val="white"/>
        </w:rPr>
        <w:t xml:space="preserve">епартамента имущественных отношений – на уровне </w:t>
      </w:r>
      <w:r>
        <w:rPr>
          <w:color w:val="auto"/>
          <w:sz w:val="28"/>
          <w:szCs w:val="28"/>
          <w:highlight w:val="white"/>
        </w:rPr>
        <w:t xml:space="preserve">80,6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4"/>
        </w:numPr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департамента жилищно-коммунального хозяйства – на уровне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69,7</w:t>
      </w:r>
      <w:r>
        <w:rPr>
          <w:color w:val="auto"/>
          <w:sz w:val="28"/>
          <w:szCs w:val="28"/>
          <w:highlight w:val="white"/>
        </w:rPr>
        <w:t xml:space="preserve"> %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tabs>
          <w:tab w:val="num" w:pos="900" w:leader="none"/>
        </w:tabs>
        <w:rPr>
          <w:b/>
          <w:bCs/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 xml:space="preserve">       </w:t>
      </w:r>
      <w:r>
        <w:rPr>
          <w:color w:val="000000" w:themeColor="text1"/>
          <w:sz w:val="28"/>
          <w:szCs w:val="28"/>
        </w:rPr>
        <w:t xml:space="preserve">  </w:t>
      </w:r>
      <w:r>
        <w:rPr>
          <w:b/>
          <w:color w:val="000000" w:themeColor="text1"/>
          <w:sz w:val="28"/>
          <w:szCs w:val="28"/>
        </w:rPr>
        <w:t xml:space="preserve">2.2. Исполнение расходов по переданным государственным полномочиям: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spacing w:line="240" w:lineRule="auto"/>
        <w:tabs>
          <w:tab w:val="num" w:pos="900" w:leader="none"/>
        </w:tabs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</w:rPr>
      </w:r>
      <w:r>
        <w:rPr>
          <w:b/>
          <w:bCs/>
          <w:color w:val="ff0000"/>
          <w:sz w:val="16"/>
          <w:szCs w:val="16"/>
        </w:rPr>
      </w:r>
      <w:r>
        <w:rPr>
          <w:b/>
          <w:bCs/>
          <w:color w:val="ff0000"/>
          <w:sz w:val="16"/>
          <w:szCs w:val="16"/>
        </w:rPr>
      </w:r>
    </w:p>
    <w:p>
      <w:pPr>
        <w:spacing w:line="240" w:lineRule="auto"/>
        <w:tabs>
          <w:tab w:val="num" w:pos="900" w:leader="none"/>
        </w:tabs>
        <w:rPr>
          <w:color w:val="auto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</w:t>
      </w:r>
      <w:r>
        <w:rPr>
          <w:b/>
          <w:color w:val="auto"/>
          <w:sz w:val="28"/>
          <w:szCs w:val="28"/>
        </w:rPr>
        <w:t xml:space="preserve">       выше 95,0 % </w:t>
      </w:r>
      <w:r>
        <w:rPr>
          <w:color w:val="auto"/>
          <w:sz w:val="28"/>
          <w:szCs w:val="28"/>
        </w:rPr>
        <w:t xml:space="preserve">обеспечено следующими главными распорядителями бюдже</w:t>
      </w:r>
      <w:r>
        <w:rPr>
          <w:color w:val="auto"/>
          <w:sz w:val="28"/>
          <w:szCs w:val="28"/>
        </w:rPr>
        <w:t xml:space="preserve">тных средств: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9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департаментом культуры и молодежной политики – на уровне </w:t>
      </w:r>
      <w:r>
        <w:rPr>
          <w:color w:val="auto"/>
          <w:sz w:val="28"/>
          <w:szCs w:val="28"/>
          <w:highlight w:val="white"/>
        </w:rPr>
        <w:t xml:space="preserve">100,0</w:t>
      </w:r>
      <w:r>
        <w:rPr>
          <w:color w:val="auto"/>
          <w:sz w:val="28"/>
          <w:szCs w:val="28"/>
          <w:highlight w:val="white"/>
        </w:rPr>
        <w:t xml:space="preserve"> %</w:t>
      </w:r>
      <w:r>
        <w:rPr>
          <w:color w:val="auto"/>
          <w:sz w:val="28"/>
          <w:szCs w:val="28"/>
        </w:rPr>
        <w:t xml:space="preserve">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62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департаментом общественной безопасности </w:t>
      </w:r>
      <w:r>
        <w:rPr>
          <w:color w:val="auto"/>
          <w:sz w:val="28"/>
          <w:szCs w:val="28"/>
          <w:highlight w:val="white"/>
        </w:rPr>
        <w:t xml:space="preserve">– на уровне </w:t>
      </w:r>
      <w:r>
        <w:rPr>
          <w:color w:val="auto"/>
          <w:sz w:val="28"/>
          <w:szCs w:val="28"/>
          <w:highlight w:val="white"/>
        </w:rPr>
        <w:t xml:space="preserve">100,0 %</w:t>
      </w:r>
      <w:r>
        <w:rPr>
          <w:color w:val="auto"/>
          <w:sz w:val="28"/>
          <w:szCs w:val="28"/>
        </w:rPr>
        <w:t xml:space="preserve">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департаментом образования – на уровне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99,97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64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</w:rPr>
        <w:t xml:space="preserve">администрацией Свердловского района – на уровне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99,9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61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департаментом социальной политики – на уровне </w:t>
      </w:r>
      <w:r>
        <w:rPr>
          <w:color w:val="auto"/>
          <w:sz w:val="28"/>
          <w:szCs w:val="28"/>
        </w:rPr>
        <w:t xml:space="preserve">97,8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65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  <w:highlight w:val="white"/>
        </w:rPr>
        <w:t xml:space="preserve">комитетом по физической культуре и спорту – на уровне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97,4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  <w:t xml:space="preserve">управлением жилищных отношений – на уровне </w:t>
      </w:r>
      <w:r>
        <w:rPr>
          <w:color w:val="auto"/>
          <w:sz w:val="28"/>
          <w:szCs w:val="28"/>
          <w:highlight w:val="white"/>
        </w:rPr>
        <w:t xml:space="preserve">96,7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66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управлением записи актов гражданского состояния – на уровне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96,5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spacing w:line="24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</w:p>
    <w:p>
      <w:pPr>
        <w:ind w:firstLine="709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ниже 9</w:t>
      </w:r>
      <w:r>
        <w:rPr>
          <w:b/>
          <w:color w:val="auto"/>
          <w:sz w:val="28"/>
          <w:szCs w:val="28"/>
        </w:rPr>
        <w:t xml:space="preserve">5,0 % </w:t>
      </w:r>
      <w:r>
        <w:rPr>
          <w:color w:val="auto"/>
          <w:sz w:val="28"/>
          <w:szCs w:val="28"/>
        </w:rPr>
        <w:t xml:space="preserve">сложилось исполнение у следующих главных распорядителей бюдже</w:t>
      </w:r>
      <w:r>
        <w:rPr>
          <w:color w:val="auto"/>
          <w:sz w:val="28"/>
          <w:szCs w:val="28"/>
        </w:rPr>
        <w:t xml:space="preserve">тных средств: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67"/>
        </w:numPr>
        <w:spacing w:line="240" w:lineRule="atLeast"/>
        <w:tabs>
          <w:tab w:val="num" w:pos="72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департамента транспорта – на уровне </w:t>
      </w:r>
      <w:r>
        <w:rPr>
          <w:color w:val="auto"/>
          <w:sz w:val="28"/>
          <w:szCs w:val="28"/>
        </w:rPr>
        <w:t xml:space="preserve">94,6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  <w:t xml:space="preserve">администрации Индустриального района – на уровне </w:t>
      </w:r>
      <w:r>
        <w:rPr>
          <w:color w:val="auto"/>
          <w:sz w:val="28"/>
          <w:szCs w:val="28"/>
        </w:rPr>
        <w:t xml:space="preserve">94,0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59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администрации Кировского района – на уровне </w:t>
      </w:r>
      <w:r>
        <w:rPr>
          <w:color w:val="auto"/>
          <w:sz w:val="28"/>
          <w:szCs w:val="28"/>
        </w:rPr>
        <w:t xml:space="preserve">92,6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0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  <w:highlight w:val="white"/>
        </w:rPr>
        <w:t xml:space="preserve">департамента жилищно-коммунального хозяйства – на уровне </w:t>
      </w:r>
      <w:r>
        <w:rPr>
          <w:color w:val="auto"/>
          <w:sz w:val="28"/>
          <w:szCs w:val="28"/>
          <w:highlight w:val="white"/>
        </w:rPr>
        <w:t xml:space="preserve">92,24</w:t>
      </w:r>
      <w:r>
        <w:rPr>
          <w:color w:val="auto"/>
          <w:sz w:val="28"/>
          <w:szCs w:val="28"/>
          <w:highlight w:val="white"/>
        </w:rPr>
        <w:t xml:space="preserve"> %</w:t>
      </w:r>
      <w:r>
        <w:rPr>
          <w:color w:val="auto"/>
          <w:sz w:val="28"/>
          <w:szCs w:val="28"/>
        </w:rPr>
        <w:t xml:space="preserve">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57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управления по экологии и природопользованию – на уровне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92,22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0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администрации Орджоникидзевского района – на уровне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91,0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</w:t>
      </w:r>
      <w:r>
        <w:rPr>
          <w:color w:val="auto"/>
          <w:sz w:val="28"/>
          <w:szCs w:val="28"/>
        </w:rPr>
        <w:t xml:space="preserve">дминистрации Мотовилихинского района – на уровне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88,6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18"/>
        </w:numPr>
        <w:spacing w:line="240" w:lineRule="auto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администрации Дзержинского района – на уровне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87,2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numPr>
          <w:ilvl w:val="0"/>
          <w:numId w:val="58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кон</w:t>
      </w:r>
      <w:r>
        <w:rPr>
          <w:color w:val="auto"/>
          <w:sz w:val="28"/>
          <w:szCs w:val="28"/>
        </w:rPr>
        <w:t xml:space="preserve">трольного департамента – на уровне </w:t>
      </w:r>
      <w:r>
        <w:rPr>
          <w:color w:val="auto"/>
          <w:sz w:val="28"/>
          <w:szCs w:val="28"/>
        </w:rPr>
        <w:t xml:space="preserve">79,5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16"/>
        </w:numPr>
        <w:spacing w:line="240" w:lineRule="atLeast"/>
        <w:tabs>
          <w:tab w:val="num" w:pos="72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департамента дорог и благоустройства – на уровне </w:t>
      </w:r>
      <w:r>
        <w:rPr>
          <w:color w:val="auto"/>
          <w:sz w:val="28"/>
          <w:szCs w:val="28"/>
        </w:rPr>
        <w:t xml:space="preserve">77,6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администрации Ленинского района – на уровне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71,2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администрации п. Новые </w:t>
      </w:r>
      <w:r>
        <w:rPr>
          <w:color w:val="auto"/>
          <w:sz w:val="28"/>
          <w:szCs w:val="28"/>
        </w:rPr>
        <w:t xml:space="preserve">Ляды</w:t>
      </w:r>
      <w:r>
        <w:rPr>
          <w:color w:val="auto"/>
          <w:sz w:val="28"/>
          <w:szCs w:val="28"/>
        </w:rPr>
        <w:t xml:space="preserve"> – на уровне </w:t>
      </w:r>
      <w:r>
        <w:rPr>
          <w:color w:val="auto"/>
          <w:sz w:val="28"/>
          <w:szCs w:val="28"/>
        </w:rPr>
        <w:t xml:space="preserve">69,7</w:t>
      </w:r>
      <w:r>
        <w:rPr>
          <w:color w:val="auto"/>
          <w:sz w:val="28"/>
          <w:szCs w:val="28"/>
        </w:rPr>
        <w:t xml:space="preserve"> %.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rPr>
          <w:color w:val="c00000"/>
        </w:rPr>
      </w:pPr>
      <w:r>
        <w:rPr>
          <w:color w:val="c00000"/>
        </w:rPr>
      </w:r>
      <w:r>
        <w:rPr>
          <w:color w:val="c00000"/>
        </w:rPr>
      </w:r>
      <w:r>
        <w:rPr>
          <w:color w:val="c00000"/>
        </w:rPr>
      </w:r>
    </w:p>
    <w:p>
      <w:pPr>
        <w:ind w:firstLine="709"/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2.</w:t>
      </w:r>
      <w:r>
        <w:rPr>
          <w:b/>
          <w:color w:val="auto"/>
          <w:sz w:val="28"/>
          <w:szCs w:val="28"/>
        </w:rPr>
        <w:t xml:space="preserve">3.</w:t>
      </w:r>
      <w:r>
        <w:rPr>
          <w:b/>
          <w:color w:val="auto"/>
          <w:sz w:val="28"/>
          <w:szCs w:val="28"/>
        </w:rPr>
        <w:t xml:space="preserve"> Исполнение расходов по средствам, переданным из краевого бюджета</w:t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spacing w:line="240" w:lineRule="auto"/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на выполнение полномочий городского округа:</w:t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spacing w:line="240" w:lineRule="auto"/>
        <w:rPr>
          <w:b/>
          <w:bCs/>
          <w:color w:val="auto"/>
          <w:sz w:val="16"/>
          <w:szCs w:val="16"/>
        </w:rPr>
      </w:pPr>
      <w:r>
        <w:rPr>
          <w:color w:val="auto"/>
          <w:sz w:val="16"/>
          <w:szCs w:val="16"/>
          <w:highlight w:val="none"/>
        </w:rPr>
      </w:r>
      <w:r>
        <w:rPr>
          <w:b/>
          <w:bCs/>
          <w:color w:val="auto"/>
          <w:sz w:val="16"/>
          <w:szCs w:val="16"/>
        </w:rPr>
      </w:r>
      <w:r>
        <w:rPr>
          <w:b/>
          <w:bCs/>
          <w:color w:val="auto"/>
          <w:sz w:val="16"/>
          <w:szCs w:val="16"/>
        </w:rPr>
      </w:r>
    </w:p>
    <w:p>
      <w:pPr>
        <w:ind w:firstLine="709"/>
        <w:spacing w:line="240" w:lineRule="auto"/>
        <w:rPr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</w:rPr>
        <w:t xml:space="preserve">выше 95,0 % </w:t>
      </w:r>
      <w:r>
        <w:rPr>
          <w:color w:val="auto"/>
          <w:sz w:val="28"/>
          <w:szCs w:val="28"/>
        </w:rPr>
        <w:t xml:space="preserve">обеспечено следующими главными распорядителями бюджетных </w:t>
      </w:r>
      <w:r>
        <w:rPr>
          <w:color w:val="auto"/>
          <w:sz w:val="28"/>
          <w:szCs w:val="28"/>
        </w:rPr>
        <w:t xml:space="preserve">средств: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numPr>
          <w:ilvl w:val="0"/>
          <w:numId w:val="28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</w:t>
      </w:r>
      <w:r>
        <w:rPr>
          <w:color w:val="auto"/>
          <w:sz w:val="28"/>
          <w:szCs w:val="28"/>
          <w:highlight w:val="white"/>
        </w:rPr>
        <w:t xml:space="preserve">епартаментом культуры и молодежной политики – на уровне 100,0 %</w:t>
      </w:r>
      <w:r>
        <w:rPr>
          <w:color w:val="auto"/>
          <w:sz w:val="28"/>
          <w:szCs w:val="28"/>
        </w:rPr>
        <w:t xml:space="preserve">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68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</w:rPr>
        <w:t xml:space="preserve">департаментом социал</w:t>
      </w:r>
      <w:r>
        <w:rPr>
          <w:color w:val="auto"/>
          <w:sz w:val="28"/>
          <w:szCs w:val="28"/>
        </w:rPr>
        <w:t xml:space="preserve">ьной политики – на уровне </w:t>
      </w:r>
      <w:r>
        <w:rPr>
          <w:color w:val="auto"/>
          <w:sz w:val="28"/>
          <w:szCs w:val="28"/>
        </w:rPr>
        <w:t xml:space="preserve">100,0 %;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70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администраци</w:t>
      </w:r>
      <w:r>
        <w:rPr>
          <w:color w:val="auto"/>
          <w:sz w:val="28"/>
          <w:szCs w:val="28"/>
          <w:highlight w:val="white"/>
        </w:rPr>
        <w:t xml:space="preserve">ей</w:t>
      </w:r>
      <w:r>
        <w:rPr>
          <w:color w:val="auto"/>
          <w:sz w:val="28"/>
          <w:szCs w:val="28"/>
          <w:highlight w:val="white"/>
        </w:rPr>
        <w:t xml:space="preserve"> города – на уровне </w:t>
      </w:r>
      <w:r>
        <w:rPr>
          <w:color w:val="auto"/>
          <w:sz w:val="28"/>
          <w:szCs w:val="28"/>
          <w:highlight w:val="white"/>
        </w:rPr>
        <w:t xml:space="preserve">100,0 %;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28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</w:rPr>
        <w:t xml:space="preserve">департаментом образования – на уровне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99,99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72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управлением капитального строительства – на уровне </w:t>
      </w:r>
      <w:r>
        <w:rPr>
          <w:color w:val="auto"/>
          <w:sz w:val="28"/>
          <w:szCs w:val="28"/>
        </w:rPr>
        <w:t xml:space="preserve">97,7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71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департаментом дорог и благоустройства – на уровне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97,14</w:t>
      </w:r>
      <w:r>
        <w:rPr>
          <w:color w:val="auto"/>
          <w:sz w:val="28"/>
          <w:szCs w:val="28"/>
          <w:highlight w:val="white"/>
        </w:rPr>
        <w:t xml:space="preserve"> %</w:t>
      </w:r>
      <w:r>
        <w:rPr>
          <w:color w:val="auto"/>
          <w:sz w:val="28"/>
          <w:szCs w:val="28"/>
          <w:highlight w:val="white"/>
        </w:rPr>
        <w:t xml:space="preserve">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69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  <w:highlight w:val="white"/>
        </w:rPr>
        <w:t xml:space="preserve">комитетом по физической культуре и спорту – на уровне </w:t>
      </w:r>
      <w:r>
        <w:rPr>
          <w:color w:val="auto"/>
          <w:sz w:val="28"/>
          <w:szCs w:val="28"/>
          <w:highlight w:val="white"/>
        </w:rPr>
        <w:t xml:space="preserve">97,1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22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управлением жилищных отношений – на уровне </w:t>
      </w:r>
      <w:r>
        <w:rPr>
          <w:color w:val="auto"/>
          <w:sz w:val="28"/>
          <w:szCs w:val="28"/>
        </w:rPr>
        <w:t xml:space="preserve">97,0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360" w:firstLine="0"/>
        <w:spacing w:line="24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  <w:highlight w:val="none"/>
        </w:rPr>
      </w: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</w:p>
    <w:p>
      <w:pPr>
        <w:ind w:left="0" w:firstLine="709"/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  <w:t xml:space="preserve">ниже 9</w:t>
      </w:r>
      <w:r>
        <w:rPr>
          <w:b/>
          <w:color w:val="auto"/>
          <w:sz w:val="28"/>
          <w:szCs w:val="28"/>
        </w:rPr>
        <w:t xml:space="preserve">5,0 % </w:t>
      </w:r>
      <w:r>
        <w:rPr>
          <w:color w:val="auto"/>
          <w:sz w:val="28"/>
          <w:szCs w:val="28"/>
        </w:rPr>
        <w:t xml:space="preserve">сложилось исполнение у следующих главных распорядителей бюдже</w:t>
      </w:r>
      <w:r>
        <w:rPr>
          <w:color w:val="auto"/>
          <w:sz w:val="28"/>
          <w:szCs w:val="28"/>
        </w:rPr>
        <w:t xml:space="preserve">тных средств:</w:t>
      </w:r>
      <w:r>
        <w:rPr>
          <w:color w:val="auto"/>
          <w:sz w:val="28"/>
          <w:szCs w:val="28"/>
        </w:rPr>
        <w:t xml:space="preserve">    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8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департамента общ</w:t>
      </w:r>
      <w:r>
        <w:rPr>
          <w:color w:val="auto"/>
          <w:sz w:val="28"/>
          <w:szCs w:val="28"/>
        </w:rPr>
        <w:t xml:space="preserve">ественной безопасности – на уровне </w:t>
      </w:r>
      <w:r>
        <w:rPr>
          <w:color w:val="auto"/>
          <w:sz w:val="28"/>
          <w:szCs w:val="28"/>
        </w:rPr>
        <w:t xml:space="preserve">90,9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73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департамента жилищно-коммунального хозяйства – на уровне </w:t>
      </w:r>
      <w:r>
        <w:rPr>
          <w:color w:val="auto"/>
          <w:sz w:val="28"/>
          <w:szCs w:val="28"/>
        </w:rPr>
        <w:t xml:space="preserve">88,2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8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управления по экологии и природо</w:t>
      </w:r>
      <w:r>
        <w:rPr>
          <w:color w:val="auto"/>
          <w:sz w:val="28"/>
          <w:szCs w:val="28"/>
        </w:rPr>
        <w:t xml:space="preserve">пользованию – на уровне </w:t>
      </w:r>
      <w:r>
        <w:rPr>
          <w:color w:val="auto"/>
          <w:sz w:val="28"/>
          <w:szCs w:val="28"/>
        </w:rPr>
        <w:t xml:space="preserve">81,0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8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департамента транспорта – на уровне </w:t>
      </w:r>
      <w:r>
        <w:rPr>
          <w:color w:val="auto"/>
          <w:sz w:val="28"/>
          <w:szCs w:val="28"/>
        </w:rPr>
        <w:t xml:space="preserve">80,6</w:t>
      </w:r>
      <w:r>
        <w:rPr>
          <w:color w:val="auto"/>
          <w:sz w:val="28"/>
          <w:szCs w:val="28"/>
        </w:rPr>
        <w:t xml:space="preserve"> %.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360" w:firstLine="0"/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238" w:right="567" w:bottom="249" w:left="794" w:header="709" w:footer="482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9</w:t>
    </w:r>
    <w:r>
      <w:fldChar w:fldCharType="end"/>
    </w:r>
    <w:r/>
  </w:p>
  <w:p>
    <w:pPr>
      <w:pStyle w:val="895"/>
      <w:ind w:right="360"/>
      <w:rPr>
        <w:sz w:val="23"/>
        <w:szCs w:val="23"/>
      </w:rPr>
    </w:pPr>
    <w:r>
      <w:rPr>
        <w:sz w:val="23"/>
        <w:szCs w:val="23"/>
      </w:rPr>
    </w:r>
    <w:r>
      <w:rPr>
        <w:sz w:val="23"/>
        <w:szCs w:val="23"/>
      </w:rPr>
    </w:r>
    <w:r>
      <w:rPr>
        <w:sz w:val="23"/>
        <w:szCs w:val="23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rPr>
        <w:rStyle w:val="1046"/>
        <w:sz w:val="23"/>
        <w:szCs w:val="23"/>
      </w:rPr>
      <w:framePr w:wrap="around" w:vAnchor="text" w:hAnchor="margin" w:xAlign="right" w:y="1"/>
    </w:pPr>
    <w:r>
      <w:rPr>
        <w:rStyle w:val="1046"/>
        <w:sz w:val="23"/>
        <w:szCs w:val="23"/>
      </w:rPr>
      <w:fldChar w:fldCharType="begin"/>
    </w:r>
    <w:r>
      <w:rPr>
        <w:rStyle w:val="1046"/>
        <w:sz w:val="23"/>
        <w:szCs w:val="23"/>
      </w:rPr>
      <w:instrText xml:space="preserve">PAGE  </w:instrText>
    </w:r>
    <w:r>
      <w:rPr>
        <w:rStyle w:val="1046"/>
        <w:sz w:val="23"/>
        <w:szCs w:val="23"/>
      </w:rPr>
      <w:fldChar w:fldCharType="end"/>
    </w:r>
    <w:r>
      <w:rPr>
        <w:rStyle w:val="1046"/>
        <w:sz w:val="23"/>
        <w:szCs w:val="23"/>
      </w:rPr>
    </w:r>
    <w:r>
      <w:rPr>
        <w:rStyle w:val="1046"/>
        <w:sz w:val="23"/>
        <w:szCs w:val="23"/>
      </w:rPr>
    </w:r>
  </w:p>
  <w:p>
    <w:pPr>
      <w:pStyle w:val="895"/>
      <w:ind w:right="360"/>
      <w:rPr>
        <w:sz w:val="23"/>
        <w:szCs w:val="23"/>
      </w:rPr>
    </w:pPr>
    <w:r>
      <w:rPr>
        <w:sz w:val="23"/>
        <w:szCs w:val="23"/>
      </w:rPr>
    </w:r>
    <w:r>
      <w:rPr>
        <w:sz w:val="23"/>
        <w:szCs w:val="23"/>
      </w:rPr>
    </w:r>
    <w:r>
      <w:rPr>
        <w:sz w:val="23"/>
        <w:szCs w:val="23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num w:numId="1">
    <w:abstractNumId w:val="20"/>
  </w:num>
  <w:num w:numId="2">
    <w:abstractNumId w:val="19"/>
  </w:num>
  <w:num w:numId="3">
    <w:abstractNumId w:val="1"/>
  </w:num>
  <w:num w:numId="4">
    <w:abstractNumId w:val="12"/>
  </w:num>
  <w:num w:numId="5">
    <w:abstractNumId w:val="8"/>
  </w:num>
  <w:num w:numId="6">
    <w:abstractNumId w:val="21"/>
  </w:num>
  <w:num w:numId="7">
    <w:abstractNumId w:val="15"/>
  </w:num>
  <w:num w:numId="8">
    <w:abstractNumId w:val="5"/>
  </w:num>
  <w:num w:numId="9">
    <w:abstractNumId w:val="25"/>
  </w:num>
  <w:num w:numId="10">
    <w:abstractNumId w:val="17"/>
  </w:num>
  <w:num w:numId="11">
    <w:abstractNumId w:val="9"/>
  </w:num>
  <w:num w:numId="12">
    <w:abstractNumId w:val="4"/>
  </w:num>
  <w:num w:numId="13">
    <w:abstractNumId w:val="18"/>
  </w:num>
  <w:num w:numId="14">
    <w:abstractNumId w:val="16"/>
  </w:num>
  <w:num w:numId="15">
    <w:abstractNumId w:val="13"/>
  </w:num>
  <w:num w:numId="16">
    <w:abstractNumId w:val="11"/>
  </w:num>
  <w:num w:numId="17">
    <w:abstractNumId w:val="26"/>
  </w:num>
  <w:num w:numId="18">
    <w:abstractNumId w:val="10"/>
  </w:num>
  <w:num w:numId="19">
    <w:abstractNumId w:val="7"/>
  </w:num>
  <w:num w:numId="20">
    <w:abstractNumId w:val="27"/>
  </w:num>
  <w:num w:numId="21">
    <w:abstractNumId w:val="3"/>
  </w:num>
  <w:num w:numId="22">
    <w:abstractNumId w:val="23"/>
  </w:num>
  <w:num w:numId="23">
    <w:abstractNumId w:val="0"/>
  </w:num>
  <w:num w:numId="24">
    <w:abstractNumId w:val="2"/>
  </w:num>
  <w:num w:numId="25">
    <w:abstractNumId w:val="24"/>
  </w:num>
  <w:num w:numId="26">
    <w:abstractNumId w:val="6"/>
  </w:num>
  <w:num w:numId="27">
    <w:abstractNumId w:val="22"/>
  </w:num>
  <w:num w:numId="28">
    <w:abstractNumId w:val="14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44" w:default="1">
    <w:name w:val="Normal"/>
    <w:qFormat/>
    <w:pPr>
      <w:jc w:val="both"/>
      <w:spacing w:line="360" w:lineRule="atLeas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45">
    <w:name w:val="Heading 1"/>
    <w:basedOn w:val="844"/>
    <w:next w:val="844"/>
    <w:link w:val="8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46">
    <w:name w:val="Heading 2"/>
    <w:basedOn w:val="844"/>
    <w:next w:val="844"/>
    <w:link w:val="8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47">
    <w:name w:val="Heading 3"/>
    <w:basedOn w:val="844"/>
    <w:next w:val="844"/>
    <w:link w:val="8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48">
    <w:name w:val="Heading 4"/>
    <w:basedOn w:val="844"/>
    <w:next w:val="844"/>
    <w:link w:val="8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49">
    <w:name w:val="Heading 5"/>
    <w:basedOn w:val="844"/>
    <w:next w:val="844"/>
    <w:link w:val="8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850">
    <w:name w:val="Heading 6"/>
    <w:basedOn w:val="844"/>
    <w:next w:val="844"/>
    <w:link w:val="8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51">
    <w:name w:val="Heading 7"/>
    <w:basedOn w:val="844"/>
    <w:next w:val="844"/>
    <w:link w:val="8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2">
    <w:name w:val="Heading 8"/>
    <w:basedOn w:val="844"/>
    <w:next w:val="844"/>
    <w:link w:val="8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53">
    <w:name w:val="Heading 9"/>
    <w:basedOn w:val="844"/>
    <w:next w:val="844"/>
    <w:link w:val="8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character" w:styleId="857" w:customStyle="1">
    <w:name w:val="Heading 1 Char"/>
    <w:basedOn w:val="854"/>
    <w:uiPriority w:val="9"/>
    <w:rPr>
      <w:rFonts w:ascii="Arial" w:hAnsi="Arial" w:eastAsia="Arial" w:cs="Arial"/>
      <w:sz w:val="40"/>
      <w:szCs w:val="40"/>
    </w:rPr>
  </w:style>
  <w:style w:type="character" w:styleId="858" w:customStyle="1">
    <w:name w:val="Heading 2 Char"/>
    <w:basedOn w:val="854"/>
    <w:uiPriority w:val="9"/>
    <w:rPr>
      <w:rFonts w:ascii="Arial" w:hAnsi="Arial" w:eastAsia="Arial" w:cs="Arial"/>
      <w:sz w:val="34"/>
    </w:rPr>
  </w:style>
  <w:style w:type="character" w:styleId="859" w:customStyle="1">
    <w:name w:val="Heading 3 Char"/>
    <w:basedOn w:val="854"/>
    <w:uiPriority w:val="9"/>
    <w:rPr>
      <w:rFonts w:ascii="Arial" w:hAnsi="Arial" w:eastAsia="Arial" w:cs="Arial"/>
      <w:sz w:val="30"/>
      <w:szCs w:val="30"/>
    </w:rPr>
  </w:style>
  <w:style w:type="character" w:styleId="860" w:customStyle="1">
    <w:name w:val="Heading 4 Char"/>
    <w:basedOn w:val="854"/>
    <w:uiPriority w:val="9"/>
    <w:rPr>
      <w:rFonts w:ascii="Arial" w:hAnsi="Arial" w:eastAsia="Arial" w:cs="Arial"/>
      <w:b/>
      <w:bCs/>
      <w:sz w:val="26"/>
      <w:szCs w:val="26"/>
    </w:rPr>
  </w:style>
  <w:style w:type="character" w:styleId="861" w:customStyle="1">
    <w:name w:val="Heading 5 Char"/>
    <w:basedOn w:val="854"/>
    <w:uiPriority w:val="9"/>
    <w:rPr>
      <w:rFonts w:ascii="Arial" w:hAnsi="Arial" w:eastAsia="Arial" w:cs="Arial"/>
      <w:b/>
      <w:bCs/>
      <w:sz w:val="24"/>
      <w:szCs w:val="24"/>
    </w:rPr>
  </w:style>
  <w:style w:type="character" w:styleId="862" w:customStyle="1">
    <w:name w:val="Heading 6 Char"/>
    <w:basedOn w:val="854"/>
    <w:uiPriority w:val="9"/>
    <w:rPr>
      <w:rFonts w:ascii="Arial" w:hAnsi="Arial" w:eastAsia="Arial" w:cs="Arial"/>
      <w:b/>
      <w:bCs/>
      <w:sz w:val="22"/>
      <w:szCs w:val="22"/>
    </w:rPr>
  </w:style>
  <w:style w:type="character" w:styleId="863" w:customStyle="1">
    <w:name w:val="Heading 7 Char"/>
    <w:basedOn w:val="8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64" w:customStyle="1">
    <w:name w:val="Heading 8 Char"/>
    <w:basedOn w:val="854"/>
    <w:uiPriority w:val="9"/>
    <w:rPr>
      <w:rFonts w:ascii="Arial" w:hAnsi="Arial" w:eastAsia="Arial" w:cs="Arial"/>
      <w:i/>
      <w:iCs/>
      <w:sz w:val="22"/>
      <w:szCs w:val="22"/>
    </w:rPr>
  </w:style>
  <w:style w:type="character" w:styleId="865" w:customStyle="1">
    <w:name w:val="Heading 9 Char"/>
    <w:basedOn w:val="854"/>
    <w:uiPriority w:val="9"/>
    <w:rPr>
      <w:rFonts w:ascii="Arial" w:hAnsi="Arial" w:eastAsia="Arial" w:cs="Arial"/>
      <w:i/>
      <w:iCs/>
      <w:sz w:val="21"/>
      <w:szCs w:val="21"/>
    </w:rPr>
  </w:style>
  <w:style w:type="character" w:styleId="866" w:customStyle="1">
    <w:name w:val="Title Char"/>
    <w:basedOn w:val="854"/>
    <w:uiPriority w:val="10"/>
    <w:rPr>
      <w:sz w:val="48"/>
      <w:szCs w:val="48"/>
    </w:rPr>
  </w:style>
  <w:style w:type="character" w:styleId="867" w:customStyle="1">
    <w:name w:val="Subtitle Char"/>
    <w:basedOn w:val="854"/>
    <w:uiPriority w:val="11"/>
    <w:rPr>
      <w:sz w:val="24"/>
      <w:szCs w:val="24"/>
    </w:rPr>
  </w:style>
  <w:style w:type="character" w:styleId="868" w:customStyle="1">
    <w:name w:val="Quote Char"/>
    <w:uiPriority w:val="29"/>
    <w:rPr>
      <w:i/>
    </w:rPr>
  </w:style>
  <w:style w:type="character" w:styleId="869" w:customStyle="1">
    <w:name w:val="Intense Quote Char"/>
    <w:uiPriority w:val="30"/>
    <w:rPr>
      <w:i/>
    </w:rPr>
  </w:style>
  <w:style w:type="character" w:styleId="870" w:customStyle="1">
    <w:name w:val="Header Char"/>
    <w:basedOn w:val="854"/>
    <w:uiPriority w:val="99"/>
  </w:style>
  <w:style w:type="character" w:styleId="871" w:customStyle="1">
    <w:name w:val="Caption Char"/>
    <w:uiPriority w:val="99"/>
  </w:style>
  <w:style w:type="character" w:styleId="872" w:customStyle="1">
    <w:name w:val="Footnote Text Char"/>
    <w:uiPriority w:val="99"/>
    <w:rPr>
      <w:sz w:val="18"/>
    </w:rPr>
  </w:style>
  <w:style w:type="character" w:styleId="873" w:customStyle="1">
    <w:name w:val="Endnote Text Char"/>
    <w:uiPriority w:val="99"/>
    <w:rPr>
      <w:sz w:val="20"/>
    </w:rPr>
  </w:style>
  <w:style w:type="character" w:styleId="874" w:customStyle="1">
    <w:name w:val="Заголовок 1 Знак"/>
    <w:link w:val="845"/>
    <w:uiPriority w:val="9"/>
    <w:rPr>
      <w:rFonts w:ascii="Arial" w:hAnsi="Arial" w:eastAsia="Arial" w:cs="Arial"/>
      <w:sz w:val="40"/>
      <w:szCs w:val="40"/>
    </w:rPr>
  </w:style>
  <w:style w:type="character" w:styleId="875" w:customStyle="1">
    <w:name w:val="Заголовок 2 Знак"/>
    <w:link w:val="846"/>
    <w:uiPriority w:val="9"/>
    <w:rPr>
      <w:rFonts w:ascii="Arial" w:hAnsi="Arial" w:eastAsia="Arial" w:cs="Arial"/>
      <w:sz w:val="34"/>
    </w:rPr>
  </w:style>
  <w:style w:type="character" w:styleId="876" w:customStyle="1">
    <w:name w:val="Заголовок 3 Знак"/>
    <w:link w:val="847"/>
    <w:uiPriority w:val="9"/>
    <w:rPr>
      <w:rFonts w:ascii="Arial" w:hAnsi="Arial" w:eastAsia="Arial" w:cs="Arial"/>
      <w:sz w:val="30"/>
      <w:szCs w:val="30"/>
    </w:rPr>
  </w:style>
  <w:style w:type="character" w:styleId="877" w:customStyle="1">
    <w:name w:val="Заголовок 4 Знак"/>
    <w:link w:val="848"/>
    <w:uiPriority w:val="9"/>
    <w:rPr>
      <w:rFonts w:ascii="Arial" w:hAnsi="Arial" w:eastAsia="Arial" w:cs="Arial"/>
      <w:b/>
      <w:bCs/>
      <w:sz w:val="26"/>
      <w:szCs w:val="26"/>
    </w:rPr>
  </w:style>
  <w:style w:type="character" w:styleId="878" w:customStyle="1">
    <w:name w:val="Заголовок 5 Знак"/>
    <w:link w:val="849"/>
    <w:uiPriority w:val="9"/>
    <w:rPr>
      <w:rFonts w:ascii="Arial" w:hAnsi="Arial" w:eastAsia="Arial" w:cs="Arial"/>
      <w:b/>
      <w:bCs/>
      <w:sz w:val="24"/>
      <w:szCs w:val="24"/>
    </w:rPr>
  </w:style>
  <w:style w:type="character" w:styleId="879" w:customStyle="1">
    <w:name w:val="Заголовок 6 Знак"/>
    <w:link w:val="850"/>
    <w:uiPriority w:val="9"/>
    <w:rPr>
      <w:rFonts w:ascii="Arial" w:hAnsi="Arial" w:eastAsia="Arial" w:cs="Arial"/>
      <w:b/>
      <w:bCs/>
      <w:sz w:val="22"/>
      <w:szCs w:val="22"/>
    </w:rPr>
  </w:style>
  <w:style w:type="character" w:styleId="880" w:customStyle="1">
    <w:name w:val="Заголовок 7 Знак"/>
    <w:link w:val="8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81" w:customStyle="1">
    <w:name w:val="Заголовок 8 Знак"/>
    <w:link w:val="852"/>
    <w:uiPriority w:val="9"/>
    <w:rPr>
      <w:rFonts w:ascii="Arial" w:hAnsi="Arial" w:eastAsia="Arial" w:cs="Arial"/>
      <w:i/>
      <w:iCs/>
      <w:sz w:val="22"/>
      <w:szCs w:val="22"/>
    </w:rPr>
  </w:style>
  <w:style w:type="character" w:styleId="882" w:customStyle="1">
    <w:name w:val="Заголовок 9 Знак"/>
    <w:link w:val="853"/>
    <w:uiPriority w:val="9"/>
    <w:rPr>
      <w:rFonts w:ascii="Arial" w:hAnsi="Arial" w:eastAsia="Arial" w:cs="Arial"/>
      <w:i/>
      <w:iCs/>
      <w:sz w:val="21"/>
      <w:szCs w:val="21"/>
    </w:rPr>
  </w:style>
  <w:style w:type="paragraph" w:styleId="883">
    <w:name w:val="List Paragraph"/>
    <w:basedOn w:val="844"/>
    <w:uiPriority w:val="34"/>
    <w:qFormat/>
    <w:pPr>
      <w:contextualSpacing/>
      <w:ind w:left="720"/>
      <w:jc w:val="left"/>
      <w:spacing w:after="200" w:line="276" w:lineRule="auto"/>
      <w:widowControl/>
    </w:pPr>
    <w:rPr>
      <w:rFonts w:ascii="Calibri" w:hAnsi="Calibri" w:eastAsia="Calibri"/>
      <w:sz w:val="22"/>
      <w:szCs w:val="22"/>
      <w:lang w:eastAsia="en-US"/>
    </w:rPr>
  </w:style>
  <w:style w:type="paragraph" w:styleId="884">
    <w:name w:val="No Spacing"/>
    <w:uiPriority w:val="1"/>
    <w:qFormat/>
  </w:style>
  <w:style w:type="paragraph" w:styleId="885">
    <w:name w:val="Title"/>
    <w:basedOn w:val="844"/>
    <w:next w:val="844"/>
    <w:link w:val="8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86" w:customStyle="1">
    <w:name w:val="Заголовок Знак"/>
    <w:link w:val="885"/>
    <w:uiPriority w:val="10"/>
    <w:rPr>
      <w:sz w:val="48"/>
      <w:szCs w:val="48"/>
    </w:rPr>
  </w:style>
  <w:style w:type="paragraph" w:styleId="887">
    <w:name w:val="Subtitle"/>
    <w:basedOn w:val="844"/>
    <w:next w:val="844"/>
    <w:link w:val="888"/>
    <w:uiPriority w:val="11"/>
    <w:qFormat/>
    <w:pPr>
      <w:spacing w:before="200" w:after="200"/>
    </w:pPr>
  </w:style>
  <w:style w:type="character" w:styleId="888" w:customStyle="1">
    <w:name w:val="Подзаголовок Знак"/>
    <w:link w:val="887"/>
    <w:uiPriority w:val="11"/>
    <w:rPr>
      <w:sz w:val="24"/>
      <w:szCs w:val="24"/>
    </w:rPr>
  </w:style>
  <w:style w:type="paragraph" w:styleId="889">
    <w:name w:val="Quote"/>
    <w:basedOn w:val="844"/>
    <w:next w:val="844"/>
    <w:link w:val="890"/>
    <w:uiPriority w:val="29"/>
    <w:qFormat/>
    <w:pPr>
      <w:ind w:left="720" w:right="720"/>
    </w:pPr>
    <w:rPr>
      <w:i/>
    </w:rPr>
  </w:style>
  <w:style w:type="character" w:styleId="890" w:customStyle="1">
    <w:name w:val="Цитата 2 Знак"/>
    <w:link w:val="889"/>
    <w:uiPriority w:val="29"/>
    <w:rPr>
      <w:i/>
    </w:rPr>
  </w:style>
  <w:style w:type="paragraph" w:styleId="891">
    <w:name w:val="Intense Quote"/>
    <w:basedOn w:val="844"/>
    <w:next w:val="844"/>
    <w:link w:val="8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92" w:customStyle="1">
    <w:name w:val="Выделенная цитата Знак"/>
    <w:link w:val="891"/>
    <w:uiPriority w:val="30"/>
    <w:rPr>
      <w:i/>
    </w:rPr>
  </w:style>
  <w:style w:type="paragraph" w:styleId="893">
    <w:name w:val="Header"/>
    <w:basedOn w:val="844"/>
    <w:link w:val="894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894" w:customStyle="1">
    <w:name w:val="Верхний колонтитул Знак"/>
    <w:link w:val="893"/>
    <w:uiPriority w:val="99"/>
  </w:style>
  <w:style w:type="paragraph" w:styleId="895">
    <w:name w:val="Footer"/>
    <w:basedOn w:val="844"/>
    <w:link w:val="1045"/>
    <w:uiPriority w:val="99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96" w:customStyle="1">
    <w:name w:val="Footer Char"/>
    <w:uiPriority w:val="99"/>
  </w:style>
  <w:style w:type="paragraph" w:styleId="897">
    <w:name w:val="Caption"/>
    <w:basedOn w:val="844"/>
    <w:next w:val="844"/>
    <w:link w:val="8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98" w:customStyle="1">
    <w:name w:val="Название объекта Знак"/>
    <w:link w:val="897"/>
    <w:uiPriority w:val="99"/>
  </w:style>
  <w:style w:type="table" w:styleId="899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0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0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2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92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93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93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93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3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3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3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93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93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93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3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4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4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4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4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4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4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4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4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4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6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6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6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6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6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6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6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9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9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9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9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9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9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9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0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0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0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0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0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1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1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1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1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1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1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1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1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1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1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2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02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02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02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02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025">
    <w:name w:val="Hyperlink"/>
    <w:uiPriority w:val="99"/>
    <w:unhideWhenUsed/>
    <w:rPr>
      <w:color w:val="0000ff" w:themeColor="hyperlink"/>
      <w:u w:val="single"/>
    </w:rPr>
  </w:style>
  <w:style w:type="paragraph" w:styleId="1026">
    <w:name w:val="footnote text"/>
    <w:basedOn w:val="844"/>
    <w:link w:val="1027"/>
    <w:uiPriority w:val="99"/>
    <w:semiHidden/>
    <w:unhideWhenUsed/>
    <w:pPr>
      <w:spacing w:after="40" w:line="240" w:lineRule="auto"/>
    </w:pPr>
    <w:rPr>
      <w:sz w:val="18"/>
    </w:rPr>
  </w:style>
  <w:style w:type="character" w:styleId="1027" w:customStyle="1">
    <w:name w:val="Текст сноски Знак"/>
    <w:link w:val="1026"/>
    <w:uiPriority w:val="99"/>
    <w:rPr>
      <w:sz w:val="18"/>
    </w:rPr>
  </w:style>
  <w:style w:type="character" w:styleId="1028">
    <w:name w:val="footnote reference"/>
    <w:uiPriority w:val="99"/>
    <w:unhideWhenUsed/>
    <w:rPr>
      <w:vertAlign w:val="superscript"/>
    </w:rPr>
  </w:style>
  <w:style w:type="paragraph" w:styleId="1029">
    <w:name w:val="endnote text"/>
    <w:basedOn w:val="844"/>
    <w:link w:val="1030"/>
    <w:uiPriority w:val="99"/>
    <w:semiHidden/>
    <w:unhideWhenUsed/>
    <w:pPr>
      <w:spacing w:line="240" w:lineRule="auto"/>
    </w:pPr>
    <w:rPr>
      <w:sz w:val="20"/>
    </w:rPr>
  </w:style>
  <w:style w:type="character" w:styleId="1030" w:customStyle="1">
    <w:name w:val="Текст концевой сноски Знак"/>
    <w:link w:val="1029"/>
    <w:uiPriority w:val="99"/>
    <w:rPr>
      <w:sz w:val="20"/>
    </w:rPr>
  </w:style>
  <w:style w:type="character" w:styleId="1031">
    <w:name w:val="endnote reference"/>
    <w:uiPriority w:val="99"/>
    <w:semiHidden/>
    <w:unhideWhenUsed/>
    <w:rPr>
      <w:vertAlign w:val="superscript"/>
    </w:rPr>
  </w:style>
  <w:style w:type="paragraph" w:styleId="1032">
    <w:name w:val="toc 1"/>
    <w:basedOn w:val="844"/>
    <w:next w:val="844"/>
    <w:uiPriority w:val="39"/>
    <w:unhideWhenUsed/>
    <w:pPr>
      <w:spacing w:after="57"/>
    </w:pPr>
  </w:style>
  <w:style w:type="paragraph" w:styleId="1033">
    <w:name w:val="toc 2"/>
    <w:basedOn w:val="844"/>
    <w:next w:val="844"/>
    <w:uiPriority w:val="39"/>
    <w:unhideWhenUsed/>
    <w:pPr>
      <w:ind w:left="283"/>
      <w:spacing w:after="57"/>
    </w:pPr>
  </w:style>
  <w:style w:type="paragraph" w:styleId="1034">
    <w:name w:val="toc 3"/>
    <w:basedOn w:val="844"/>
    <w:next w:val="844"/>
    <w:uiPriority w:val="39"/>
    <w:unhideWhenUsed/>
    <w:pPr>
      <w:ind w:left="567"/>
      <w:spacing w:after="57"/>
    </w:pPr>
  </w:style>
  <w:style w:type="paragraph" w:styleId="1035">
    <w:name w:val="toc 4"/>
    <w:basedOn w:val="844"/>
    <w:next w:val="844"/>
    <w:uiPriority w:val="39"/>
    <w:unhideWhenUsed/>
    <w:pPr>
      <w:ind w:left="850"/>
      <w:spacing w:after="57"/>
    </w:pPr>
  </w:style>
  <w:style w:type="paragraph" w:styleId="1036">
    <w:name w:val="toc 5"/>
    <w:basedOn w:val="844"/>
    <w:next w:val="844"/>
    <w:uiPriority w:val="39"/>
    <w:unhideWhenUsed/>
    <w:pPr>
      <w:ind w:left="1134"/>
      <w:spacing w:after="57"/>
    </w:pPr>
  </w:style>
  <w:style w:type="paragraph" w:styleId="1037">
    <w:name w:val="toc 6"/>
    <w:basedOn w:val="844"/>
    <w:next w:val="844"/>
    <w:uiPriority w:val="39"/>
    <w:unhideWhenUsed/>
    <w:pPr>
      <w:ind w:left="1417"/>
      <w:spacing w:after="57"/>
    </w:pPr>
  </w:style>
  <w:style w:type="paragraph" w:styleId="1038">
    <w:name w:val="toc 7"/>
    <w:basedOn w:val="844"/>
    <w:next w:val="844"/>
    <w:uiPriority w:val="39"/>
    <w:unhideWhenUsed/>
    <w:pPr>
      <w:ind w:left="1701"/>
      <w:spacing w:after="57"/>
    </w:pPr>
  </w:style>
  <w:style w:type="paragraph" w:styleId="1039">
    <w:name w:val="toc 8"/>
    <w:basedOn w:val="844"/>
    <w:next w:val="844"/>
    <w:uiPriority w:val="39"/>
    <w:unhideWhenUsed/>
    <w:pPr>
      <w:ind w:left="1984"/>
      <w:spacing w:after="57"/>
    </w:pPr>
  </w:style>
  <w:style w:type="paragraph" w:styleId="1040">
    <w:name w:val="toc 9"/>
    <w:basedOn w:val="844"/>
    <w:next w:val="844"/>
    <w:uiPriority w:val="39"/>
    <w:unhideWhenUsed/>
    <w:pPr>
      <w:ind w:left="2268"/>
      <w:spacing w:after="57"/>
    </w:pPr>
  </w:style>
  <w:style w:type="paragraph" w:styleId="1041">
    <w:name w:val="TOC Heading"/>
    <w:uiPriority w:val="39"/>
    <w:unhideWhenUsed/>
  </w:style>
  <w:style w:type="paragraph" w:styleId="1042">
    <w:name w:val="table of figures"/>
    <w:basedOn w:val="844"/>
    <w:next w:val="844"/>
    <w:uiPriority w:val="99"/>
    <w:unhideWhenUsed/>
  </w:style>
  <w:style w:type="paragraph" w:styleId="1043">
    <w:name w:val="Body Text Indent"/>
    <w:basedOn w:val="844"/>
    <w:link w:val="1044"/>
    <w:pPr>
      <w:ind w:firstLine="720"/>
      <w:spacing w:line="360" w:lineRule="auto"/>
    </w:pPr>
    <w:rPr>
      <w:sz w:val="28"/>
      <w:szCs w:val="20"/>
      <w:lang w:val="en-US"/>
    </w:rPr>
  </w:style>
  <w:style w:type="character" w:styleId="1044" w:customStyle="1">
    <w:name w:val="Основной текст с отступом Знак"/>
    <w:link w:val="1043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045" w:customStyle="1">
    <w:name w:val="Нижний колонтитул Знак"/>
    <w:link w:val="89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46">
    <w:name w:val="page number"/>
    <w:basedOn w:val="854"/>
  </w:style>
  <w:style w:type="paragraph" w:styleId="1047">
    <w:name w:val="Body Text Indent 2"/>
    <w:basedOn w:val="844"/>
    <w:link w:val="1048"/>
    <w:pPr>
      <w:ind w:firstLine="720"/>
    </w:pPr>
    <w:rPr>
      <w:b/>
      <w:sz w:val="32"/>
      <w:szCs w:val="32"/>
      <w:lang w:val="en-US"/>
    </w:rPr>
  </w:style>
  <w:style w:type="character" w:styleId="1048" w:customStyle="1">
    <w:name w:val="Основной текст с отступом 2 Знак"/>
    <w:link w:val="1047"/>
    <w:rPr>
      <w:rFonts w:ascii="Times New Roman" w:hAnsi="Times New Roman" w:eastAsia="Times New Roman" w:cs="Times New Roman"/>
      <w:b/>
      <w:sz w:val="32"/>
      <w:szCs w:val="32"/>
      <w:lang w:eastAsia="ru-RU"/>
    </w:rPr>
  </w:style>
  <w:style w:type="paragraph" w:styleId="1049">
    <w:name w:val="Balloon Text"/>
    <w:basedOn w:val="844"/>
    <w:link w:val="1050"/>
    <w:uiPriority w:val="99"/>
    <w:semiHidden/>
    <w:unhideWhenUsed/>
    <w:pPr>
      <w:spacing w:line="240" w:lineRule="auto"/>
    </w:pPr>
    <w:rPr>
      <w:rFonts w:ascii="Tahoma" w:hAnsi="Tahoma"/>
      <w:sz w:val="16"/>
      <w:szCs w:val="16"/>
      <w:lang w:val="en-US"/>
    </w:rPr>
  </w:style>
  <w:style w:type="character" w:styleId="1050" w:customStyle="1">
    <w:name w:val="Текст выноски Знак"/>
    <w:link w:val="1049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1051" w:customStyle="1">
    <w:name w:val="Верхний колонтитул;Знак"/>
    <w:basedOn w:val="844"/>
    <w:link w:val="1052"/>
    <w:uiPriority w:val="99"/>
    <w:semiHidden/>
    <w:unhideWhenUsed/>
    <w:pPr>
      <w:spacing w:line="240" w:lineRule="auto"/>
      <w:tabs>
        <w:tab w:val="center" w:pos="4677" w:leader="none"/>
        <w:tab w:val="right" w:pos="9355" w:leader="none"/>
      </w:tabs>
    </w:pPr>
    <w:rPr>
      <w:lang w:val="en-US"/>
    </w:rPr>
  </w:style>
  <w:style w:type="character" w:styleId="1052" w:customStyle="1">
    <w:name w:val="Верхний колонтитул Знак;Знак Знак1"/>
    <w:link w:val="105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53">
    <w:name w:val="Body Text"/>
    <w:basedOn w:val="844"/>
    <w:link w:val="1054"/>
    <w:uiPriority w:val="99"/>
    <w:unhideWhenUsed/>
    <w:pPr>
      <w:spacing w:after="120"/>
    </w:pPr>
  </w:style>
  <w:style w:type="character" w:styleId="1054" w:customStyle="1">
    <w:name w:val="Основной текст Знак"/>
    <w:link w:val="1053"/>
    <w:uiPriority w:val="99"/>
    <w:rPr>
      <w:rFonts w:ascii="Times New Roman" w:hAnsi="Times New Roman" w:eastAsia="Times New Roman"/>
      <w:sz w:val="24"/>
      <w:szCs w:val="24"/>
    </w:rPr>
  </w:style>
  <w:style w:type="paragraph" w:styleId="1055" w:customStyle="1">
    <w:name w:val="Исполнитель"/>
    <w:basedOn w:val="1053"/>
    <w:pPr>
      <w:jc w:val="left"/>
      <w:spacing w:line="240" w:lineRule="exact"/>
      <w:widowControl/>
    </w:pPr>
    <w:rPr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Департамент финансов админситрации г.Перми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письму  ОПЕРАТИВНЫЙ АНАЛИЗ ИСПОЛНЕНИЯ БЮДЖЕТА ГОРОДА ПЕРМИ НА 1 МАРТА 2012 ГОДА  ПОЯСНИТЕЛЬНАЯ ЗАПИСКА  Исполне</dc:title>
  <dc:creator>Dep_Fin</dc:creator>
  <cp:lastModifiedBy>legotkina-nyu</cp:lastModifiedBy>
  <cp:revision>4565</cp:revision>
  <dcterms:created xsi:type="dcterms:W3CDTF">2022-06-10T10:27:00Z</dcterms:created>
  <dcterms:modified xsi:type="dcterms:W3CDTF">2025-11-12T07:46:21Z</dcterms:modified>
  <cp:version>983040</cp:version>
</cp:coreProperties>
</file>