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Таблица № 1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</w:p>
    <w:p>
      <w:pPr>
        <w:pStyle w:val="617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Расшифровка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17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показателей, отраженных в Справке по заключению счетов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17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бюджетного учета отчетного финансового года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17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/>
          <w:sz w:val="28"/>
          <w:szCs w:val="28"/>
          <w:lang w:eastAsia="ru-RU"/>
        </w:rPr>
        <w:instrText xml:space="preserve">HYPERLINK https://login.consultant.ru/link/?req=doc&amp;base=LAW&amp;n=474275&amp;dst=22013 </w:instrText>
      </w:r>
      <w:r>
        <w:rPr>
          <w:rFonts w:ascii="Times New Roman" w:hAnsi="Times New Roman" w:eastAsia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(ф. 0503110)</w:t>
      </w:r>
      <w:r>
        <w:rPr>
          <w:rFonts w:ascii="Times New Roman" w:hAnsi="Times New Roman" w:eastAsia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/>
          <w:sz w:val="28"/>
          <w:szCs w:val="28"/>
          <w:vertAlign w:val="superscript"/>
          <w:lang w:eastAsia="ru-RU"/>
        </w:rPr>
        <w:t xml:space="preserve">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(справочно)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17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17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Наименование субъекта отчетности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17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Единица измерения: руб.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17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tbl>
      <w:tblPr>
        <w:tblW w:w="9703" w:type="dxa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056"/>
        <w:gridCol w:w="4820"/>
        <w:gridCol w:w="1189"/>
        <w:gridCol w:w="1079"/>
        <w:gridCol w:w="1559"/>
      </w:tblGrid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Номер строки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КОСГУ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Сумма</w:t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  <w:fldChar w:fldCharType="begin"/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  <w:instrText xml:space="preserve">HYPERLINK \l Par142  </w:instrText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  <w:fldChar w:fldCharType="separate"/>
            </w:r>
            <w:r>
              <w:rPr>
                <w:rFonts w:ascii="Times New Roman" w:hAnsi="Times New Roman" w:eastAsia="Times New Roman"/>
                <w:color w:val="0000ff"/>
                <w:sz w:val="24"/>
                <w:szCs w:val="24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Пояснения</w:t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/>
            <w:bookmarkStart w:id="0" w:name="undefined"/>
            <w:r/>
            <w:bookmarkEnd w:id="0"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  <w:fldChar w:fldCharType="begin"/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  <w:instrText xml:space="preserve">HYPERLINK \l Par146  </w:instrText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  <w:fldChar w:fldCharType="separate"/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Доходы от оценки активов и обязательств, всего</w:t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restart"/>
            <w:textDirection w:val="lrTb"/>
            <w:noWrap w:val="false"/>
          </w:tcPr>
          <w:p>
            <w:pPr>
              <w:pStyle w:val="617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176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корреспонденции со счетами 1XX.XX, кроме операций с материальными запасами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корреспонденции со счетами 1XX.XX в части операций с материальными запасами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корреспонденции со счетами 204.5X, 205.XX, 206.XX, 208.XX, 209.XX, 210.XX, 215.5X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корреспонденции со счетами 204.2X, 215.2X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корреспонденции со счетами 204.3X, 215.3X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корреспонденции со счетами 207.XX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корреспонденции со счетами 302.XX, 303.XX, 304.XX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корреспонденции со счетом 301.XX в части полученных кредитов и займов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корреспонденции со счетом 301.XX в части долговых ценных бумаг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1.10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иное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Чрезвычайные доходы от операций с активами, всег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restart"/>
            <w:textDirection w:val="lrTb"/>
            <w:noWrap w:val="false"/>
          </w:tcPr>
          <w:p>
            <w:pPr>
              <w:pStyle w:val="617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173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корреспонденции со счетами 1XX.XX, кроме операций с материальными запасами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корреспонденции со счетами 1XX.XX в части операций с материальными запасами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корреспонденции со счетами 2XX.XX, за исключением счета 207.XX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корреспонденции со счетами 207.XX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иное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Прочие неденежные безвозмездные поступления, всего</w:t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restart"/>
            <w:textDirection w:val="lrTb"/>
            <w:noWrap w:val="false"/>
          </w:tcPr>
          <w:p>
            <w:pPr>
              <w:pStyle w:val="617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199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корреспонденции со счетами 1XX.XX по операциям с нефинансовыми активами, кроме операций с материальными запасами и непроизведенными активами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корреспонденции со счетами 1XX.XX по операциям с материальными запасами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корреспонденции со счетами 1XX.XX по операциям с непроизведенными активами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корреспонденции со счетами 204.5X, 205.XX, 206.XX, 208.XX, 209.XX, 210.XX, 215.5X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корреспонденции со счетами 204.2X, 215.2X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 корреспонденции со счетами 204.3X, 215.3X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/>
            <w:bookmarkStart w:id="0" w:name="undefined"/>
            <w:r/>
            <w:bookmarkEnd w:id="0"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иное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/>
            <w:bookmarkStart w:id="0" w:name="undefined"/>
            <w:r/>
            <w:bookmarkEnd w:id="0"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  <w:fldChar w:fldCharType="begin"/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  <w:instrText xml:space="preserve">HYPERLINK \l Par147  </w:instrText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  <w:fldChar w:fldCharType="separate"/>
            </w:r>
            <w:r>
              <w:rPr>
                <w:rFonts w:ascii="Times New Roman" w:hAnsi="Times New Roman" w:eastAsia="Times New Roman"/>
                <w:color w:val="0000ff"/>
                <w:sz w:val="24"/>
                <w:szCs w:val="24"/>
                <w:vertAlign w:val="superscript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Чрезвычайные расходы по операциям с активами, всего</w:t>
            </w:r>
            <w:r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273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от операций с нефинансовыми активами, кроме чрезвычайных расходов от операций с материальными запасами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restart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от операций с материальными запасами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56" w:type="dxa"/>
            <w:vAlign w:val="center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/>
            <w:bookmarkStart w:id="0" w:name="undefined"/>
            <w:r/>
            <w:bookmarkEnd w:id="0"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4.3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иное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vMerge w:val="continue"/>
            <w:textDirection w:val="lrTb"/>
            <w:noWrap w:val="false"/>
          </w:tcPr>
          <w:p>
            <w:pPr>
              <w:pStyle w:val="617"/>
              <w:ind w:firstLine="283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17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617"/>
        <w:ind w:firstLine="54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--------------------------------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17"/>
        <w:ind w:firstLine="539"/>
        <w:jc w:val="both"/>
        <w:spacing w:after="0" w:line="240" w:lineRule="auto"/>
        <w:rPr>
          <w:rFonts w:ascii="Times New Roman" w:hAnsi="Times New Roman" w:eastAsia="Times New Roman"/>
          <w:sz w:val="16"/>
          <w:szCs w:val="16"/>
          <w:shd w:val="clear" w:color="auto" w:fill="ffffff"/>
        </w:rPr>
      </w:pPr>
      <w:r/>
      <w:bookmarkStart w:id="0" w:name="undefined"/>
      <w:r/>
      <w:bookmarkEnd w:id="0"/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1 -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 данные расшифровки должны полностью соответствовать данным отчета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</w:r>
    </w:p>
    <w:p>
      <w:pPr>
        <w:pStyle w:val="617"/>
        <w:ind w:firstLine="539"/>
        <w:jc w:val="both"/>
        <w:spacing w:after="0" w:line="240" w:lineRule="auto"/>
        <w:rPr>
          <w:rFonts w:ascii="Times New Roman" w:hAnsi="Times New Roman" w:eastAsia="Times New Roman"/>
          <w:sz w:val="16"/>
          <w:szCs w:val="16"/>
          <w:shd w:val="clear" w:color="auto" w:fill="ffffff"/>
        </w:rPr>
      </w:pPr>
      <w:r/>
      <w:bookmarkStart w:id="0" w:name="undefined"/>
      <w:r/>
      <w:bookmarkEnd w:id="0"/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2 -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 сумма итоговых строк по КОСГУ 176, 173, 199, 273 должна равняться сумме детализированных строк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</w:r>
    </w:p>
    <w:p>
      <w:pPr>
        <w:pStyle w:val="617"/>
        <w:ind w:firstLine="539"/>
        <w:jc w:val="both"/>
        <w:spacing w:after="0" w:line="240" w:lineRule="auto"/>
        <w:rPr>
          <w:rFonts w:ascii="Times New Roman" w:hAnsi="Times New Roman" w:eastAsia="Times New Roman"/>
          <w:sz w:val="16"/>
          <w:szCs w:val="16"/>
          <w:shd w:val="clear" w:color="auto" w:fill="ffffff"/>
        </w:rPr>
      </w:pPr>
      <w:r/>
      <w:bookmarkStart w:id="0" w:name="undefined"/>
      <w:r/>
      <w:bookmarkEnd w:id="0"/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3 - 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заполняется в случае необходимости, по строкам 1.10, 2.5, 3.7, 4.3 - заполняется обязательно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</w:r>
    </w:p>
    <w:p>
      <w:pPr>
        <w:pStyle w:val="617"/>
        <w:ind w:firstLine="539"/>
        <w:jc w:val="both"/>
        <w:spacing w:after="0" w:line="240" w:lineRule="auto"/>
        <w:rPr>
          <w:rFonts w:ascii="Times New Roman" w:hAnsi="Times New Roman" w:eastAsia="Times New Roman"/>
          <w:sz w:val="16"/>
          <w:szCs w:val="16"/>
          <w:shd w:val="clear" w:color="auto" w:fill="ffffff"/>
        </w:rPr>
      </w:pPr>
      <w:r/>
      <w:bookmarkStart w:id="0" w:name="undefined"/>
      <w:r/>
      <w:bookmarkEnd w:id="0"/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4 - 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включая имущество казны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</w:r>
    </w:p>
    <w:p>
      <w:pPr>
        <w:pStyle w:val="617"/>
        <w:ind w:firstLine="539"/>
        <w:jc w:val="both"/>
        <w:spacing w:after="0" w:line="240" w:lineRule="auto"/>
        <w:rPr>
          <w:rFonts w:ascii="Times New Roman" w:hAnsi="Times New Roman" w:eastAsia="Times New Roman"/>
          <w:sz w:val="16"/>
          <w:szCs w:val="16"/>
          <w:shd w:val="clear" w:color="auto" w:fill="ffffff"/>
        </w:rPr>
      </w:pP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5 - 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X заменяет любой знак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</w:r>
    </w:p>
    <w:p>
      <w:pPr>
        <w:pStyle w:val="617"/>
        <w:ind w:firstLine="539"/>
        <w:jc w:val="both"/>
        <w:spacing w:after="0" w:line="240" w:lineRule="auto"/>
        <w:rPr>
          <w:rFonts w:ascii="Times New Roman" w:hAnsi="Times New Roman" w:eastAsia="Times New Roman"/>
          <w:sz w:val="16"/>
          <w:szCs w:val="16"/>
          <w:shd w:val="clear" w:color="auto" w:fill="ffffff"/>
        </w:rPr>
      </w:pP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6 - 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по 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begin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instrText xml:space="preserve">HYPERLINK \l Par18  </w:instrTex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separate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строкам 1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end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 - 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begin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instrText xml:space="preserve">HYPERLINK \l Par117  </w:instrTex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separate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3.7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end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 в графе 4 "Сумма" указывается разница показателей 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begin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instrText xml:space="preserve">HYPERLINK https://login.consultant.ru/link/?req=doc&amp;base=LAW&amp;n=474275&amp;dst=22045 </w:instrTex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separate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граф 3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end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 и 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begin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instrText xml:space="preserve">HYPERLINK https://login.consultant.ru/link/?req=doc&amp;base=LAW&amp;n=474275&amp;dst=22044 </w:instrTex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separate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2 раздела 1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end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 ф. 0503110 с соответствующим знаком (положительным или отрицательным)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</w:r>
    </w:p>
    <w:p>
      <w:pPr>
        <w:pStyle w:val="617"/>
        <w:ind w:firstLine="539"/>
        <w:jc w:val="both"/>
        <w:spacing w:after="0" w:line="240" w:lineRule="auto"/>
        <w:rPr>
          <w:rFonts w:ascii="Times New Roman" w:hAnsi="Times New Roman" w:eastAsia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7 - 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по 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begin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instrText xml:space="preserve">HYPERLINK \l Par121  </w:instrTex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separate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строкам 4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end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 - 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begin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instrText xml:space="preserve">HYPERLINK \l Par135  </w:instrTex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separate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4.3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end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 в графе 4 "Сумма" указывается разница показателей 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begin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instrText xml:space="preserve">HYPERLINK https://login.consultant.ru/link/?req=doc&amp;base=LAW&amp;n=474275&amp;dst=22044 </w:instrTex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separate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граф 2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end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 и 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begin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instrText xml:space="preserve">HYPERLINK https://login.consultant.ru/link/?req=doc&amp;base=LAW&amp;n=474275&amp;dst=22045 </w:instrTex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separate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3 раздела 1</w:t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fldChar w:fldCharType="end"/>
      </w:r>
      <w:r>
        <w:rPr>
          <w:rFonts w:ascii="Times New Roman" w:hAnsi="Times New Roman" w:eastAsia="Times New Roman"/>
          <w:sz w:val="16"/>
          <w:szCs w:val="16"/>
          <w:shd w:val="clear" w:color="auto" w:fill="ffffff"/>
        </w:rPr>
        <w:t xml:space="preserve"> ф. 0503110 с соответствующим знаком (положительным или отрицательным)</w:t>
      </w:r>
      <w:r>
        <w:rPr>
          <w:rFonts w:ascii="Times New Roman" w:hAnsi="Times New Roman" w:eastAsia="Times New Roman"/>
          <w:b/>
          <w:bCs/>
          <w:sz w:val="24"/>
          <w:szCs w:val="24"/>
          <w:shd w:val="clear" w:color="auto" w:fill="ffffff"/>
        </w:rPr>
      </w:r>
      <w:r>
        <w:rPr>
          <w:rFonts w:ascii="Times New Roman" w:hAnsi="Times New Roman" w:eastAsia="Times New Roman"/>
          <w:b/>
          <w:bCs/>
          <w:sz w:val="24"/>
          <w:szCs w:val="24"/>
          <w:shd w:val="clear" w:color="auto" w:fill="ffffff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naumova-te</cp:lastModifiedBy>
  <cp:revision>1</cp:revision>
  <dcterms:modified xsi:type="dcterms:W3CDTF">2025-01-14T11:14:26Z</dcterms:modified>
</cp:coreProperties>
</file>