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ind w:left="1416"/>
        <w:jc w:val="right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 xml:space="preserve">Таблица №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617"/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61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количестве организаций бюджетной сферы муниципального образования на 01.01.2025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17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Ind w:w="-1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96"/>
        <w:gridCol w:w="2002"/>
        <w:gridCol w:w="718"/>
        <w:gridCol w:w="1617"/>
        <w:gridCol w:w="1897"/>
        <w:gridCol w:w="2008"/>
        <w:gridCol w:w="1980"/>
        <w:gridCol w:w="1421"/>
        <w:gridCol w:w="137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96" w:type="dxa"/>
            <w:vAlign w:val="top"/>
            <w:vMerge w:val="restart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02" w:type="dxa"/>
            <w:vAlign w:val="top"/>
            <w:vMerge w:val="restart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8" w:type="dxa"/>
            <w:vAlign w:val="top"/>
            <w:vMerge w:val="restart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всего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pStyle w:val="617"/>
              <w:jc w:val="center"/>
            </w:pPr>
            <w:r>
              <w:rPr>
                <w:rFonts w:ascii="Times New Roman" w:hAnsi="Times New Roman" w:eastAsia="Times New Roman"/>
              </w:rPr>
              <w:t xml:space="preserve">в том числе</w:t>
            </w: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96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02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8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7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Главные распорядители бюджетных средств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7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Территориальные управления главных распорядителей бюджетных средств с правом юридического лица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08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Централизованные бухгалтерии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Казенные учреждения </w:t>
              <w:br/>
              <w:t xml:space="preserve">(за исключением централизованных бухгалтерий) 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1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Автономные учреждения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617"/>
              <w:jc w:val="center"/>
            </w:pPr>
            <w:r>
              <w:rPr>
                <w:rFonts w:ascii="Times New Roman" w:hAnsi="Times New Roman" w:eastAsia="Times New Roman"/>
              </w:rPr>
              <w:t xml:space="preserve">Бюджетные учреждения</w:t>
            </w: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96" w:type="dxa"/>
            <w:vAlign w:val="top"/>
            <w:vMerge w:val="restart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617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Количество организаций бюджетной сферы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8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7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7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08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1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96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617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из них количество централизованных бухгалтерий и учреждений с централизованным ведением бюджетного (бухгалтерского) учета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8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7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7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08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1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naumova-te</cp:lastModifiedBy>
  <cp:revision>1</cp:revision>
  <dcterms:modified xsi:type="dcterms:W3CDTF">2025-01-14T11:10:47Z</dcterms:modified>
</cp:coreProperties>
</file>