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81746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4" cy="1817464"/>
                          <a:chOff x="0" y="0"/>
                          <a:chExt cx="6285864" cy="18174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648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1476473"/>
                            <a:ext cx="1536064" cy="337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479945"/>
                            <a:ext cx="1085850" cy="337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14.30pt;mso-position-vertical:absolute;width:494.95pt;height:143.11pt;mso-wrap-distance-left:9.00pt;mso-wrap-distance-top:0.00pt;mso-wrap-distance-right:9.00pt;mso-wrap-distance-bottom:0.00pt;" coordorigin="0,0" coordsize="62858,18174">
                <v:shape id="shape 2" o:spid="_x0000_s2" o:spt="202" type="#_x0000_t202" style="position:absolute;left:0;top:0;width:62858;height:16487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14764;width:15360;height:3375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14799;width:10858;height:3375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20.10.2025            </w:t>
      </w:r>
      <w:r>
        <w:rPr>
          <w:sz w:val="28"/>
          <w:szCs w:val="28"/>
        </w:rPr>
        <w:t xml:space="preserve">059-06-01/01-03-р-347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</w:t>
      </w:r>
      <w:r>
        <w:rPr>
          <w:b/>
          <w:bCs/>
          <w:sz w:val="28"/>
          <w:szCs w:val="28"/>
        </w:rPr>
        <w:t xml:space="preserve"> в Порядок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отражения в бюджетном учете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отдельных операций с объектами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нефинансовых активов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 составе имущества муниципальной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казны города Перми,</w:t>
      </w:r>
      <w:r>
        <w:rPr>
          <w:b/>
          <w:bCs/>
          <w:sz w:val="28"/>
          <w:szCs w:val="28"/>
          <w:highlight w:val="none"/>
        </w:rPr>
        <w:t xml:space="preserve"> утвержденный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распоряжением заместителя </w:t>
      </w:r>
      <w:r>
        <w:rPr>
          <w:b/>
          <w:bCs/>
          <w:sz w:val="28"/>
          <w:szCs w:val="28"/>
          <w:highlight w:val="none"/>
        </w:rPr>
        <w:t xml:space="preserve">главы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администрации</w:t>
      </w:r>
      <w:r>
        <w:rPr>
          <w:b/>
          <w:bCs/>
          <w:sz w:val="28"/>
          <w:szCs w:val="28"/>
          <w:highlight w:val="none"/>
        </w:rPr>
        <w:t xml:space="preserve"> города Перми -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начальника</w:t>
      </w:r>
      <w:r>
        <w:t xml:space="preserve"> </w:t>
      </w:r>
      <w:r>
        <w:rPr>
          <w:b/>
          <w:bCs/>
          <w:sz w:val="28"/>
          <w:szCs w:val="28"/>
          <w:highlight w:val="none"/>
        </w:rPr>
        <w:t xml:space="preserve">департамента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финансов администрации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от 10.08.2018 № СЭД-059-06-01.01-03-р-120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На основании </w:t>
      </w:r>
      <w:hyperlink r:id="rId13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&quot; (Зарегистрировано в Минюсте России 30.12.2010 N 19452) {КонсультантПлюс}" w:history="1">
        <w:r>
          <w:rPr>
            <w:b w:val="0"/>
            <w:bCs w:val="0"/>
            <w:sz w:val="28"/>
            <w:szCs w:val="28"/>
            <w:highlight w:val="none"/>
          </w:rPr>
          <w:t xml:space="preserve">пункта 145</w:t>
        </w:r>
      </w:hyperlink>
      <w:r>
        <w:rPr>
          <w:b w:val="0"/>
          <w:bCs w:val="0"/>
          <w:sz w:val="28"/>
          <w:szCs w:val="28"/>
          <w:highlight w:val="none"/>
        </w:rPr>
        <w:t xml:space="preserve"> Инструкции по применению Единого плана счетов бухгалтерского учета для органов государственной власти (государственных органов), орга</w:t>
      </w:r>
      <w:r>
        <w:rPr>
          <w:b w:val="0"/>
          <w:bCs w:val="0"/>
          <w:sz w:val="28"/>
          <w:szCs w:val="28"/>
          <w:highlight w:val="none"/>
        </w:rPr>
        <w:t xml:space="preserve">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1 декабря 2010 г. № 157н,</w:t>
      </w:r>
      <w:r>
        <w:rPr>
          <w:b w:val="0"/>
          <w:bCs w:val="0"/>
          <w:sz w:val="28"/>
          <w:szCs w:val="28"/>
          <w:highlight w:val="none"/>
        </w:rPr>
        <w:t xml:space="preserve"> пункта 7 приказа Министерства финансов Российской Федерации от 15.06.2021 </w:t>
        <w:br/>
        <w:t xml:space="preserve">№ 84н «Об утверждении федерального стандарта бухгалтерского учета государственных финансов «Государственная (муниципальная) казна»,</w:t>
        <w:br/>
        <w:t xml:space="preserve">подпункта «д», пункта 10 </w:t>
      </w:r>
      <w:r>
        <w:rPr>
          <w:b w:val="0"/>
          <w:bCs w:val="0"/>
          <w:sz w:val="28"/>
          <w:szCs w:val="28"/>
          <w:highlight w:val="none"/>
        </w:rPr>
        <w:t xml:space="preserve">приказа Министерства финансов Российской Федерации </w:t>
        <w:br/>
        <w:t xml:space="preserve">от 28.02.2018 № 34н «Об утверждении федерального стандарта бухгалтерского учета для организаций государственного сектора «Непроизведенные активы»,</w:t>
      </w:r>
      <w:r>
        <w:rPr>
          <w:b w:val="0"/>
          <w:bCs w:val="0"/>
          <w:sz w:val="28"/>
          <w:szCs w:val="28"/>
          <w:highlight w:val="none"/>
        </w:rPr>
        <w:t xml:space="preserve"> статьи 64 Федерального закона от 20</w:t>
      </w:r>
      <w:r>
        <w:rPr>
          <w:b w:val="0"/>
          <w:bCs w:val="0"/>
          <w:sz w:val="28"/>
          <w:szCs w:val="28"/>
          <w:highlight w:val="none"/>
        </w:rPr>
        <w:t xml:space="preserve">.03.2025 № 33-ФЗ «Об общих принципах организации местного самоуправления в единой системе публичной власти» в целях определения устанавливаемых финансовым органом особенностей отражения в бюджетном учете операций с объектами имущества муниципальной казны: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 Внести в </w:t>
      </w:r>
      <w:hyperlink r:id="rId14" w:tooltip="Распоряжение Начальника департамента финансов Администрации г. Перми от 10.08.2018 N СЭД-059-06-01.01-03-р-120 (ред. от 20.12.2021) &quot;Об утверждении Порядка отражения в бюджетном учете отдельных операций с объектами нефинансовых активов в составе имущества муниципальной казны города Перми&quot; ------------ Недействующая редакция {КонсультантПлюс}" w:history="1">
        <w:r>
          <w:rPr>
            <w:b w:val="0"/>
            <w:bCs w:val="0"/>
            <w:sz w:val="28"/>
            <w:szCs w:val="28"/>
            <w:highlight w:val="none"/>
          </w:rPr>
          <w:t xml:space="preserve">Порядок</w:t>
        </w:r>
      </w:hyperlink>
      <w:r>
        <w:rPr>
          <w:b w:val="0"/>
          <w:bCs w:val="0"/>
          <w:sz w:val="28"/>
          <w:szCs w:val="28"/>
          <w:highlight w:val="none"/>
        </w:rPr>
        <w:t xml:space="preserve"> отражения в бюджетном учете отдельных операций с объектами нефинансовых активов в составе имущества муниципальной казны города Перми, утвержденн</w:t>
      </w:r>
      <w:r>
        <w:rPr>
          <w:b w:val="0"/>
          <w:bCs w:val="0"/>
          <w:sz w:val="28"/>
          <w:szCs w:val="28"/>
          <w:highlight w:val="none"/>
        </w:rPr>
        <w:t xml:space="preserve">ый распоряжением заместителя главы админ</w:t>
      </w:r>
      <w:r>
        <w:rPr>
          <w:b w:val="0"/>
          <w:bCs w:val="0"/>
          <w:sz w:val="28"/>
          <w:szCs w:val="28"/>
          <w:highlight w:val="none"/>
        </w:rPr>
        <w:t xml:space="preserve">истрации города Перми - начальника департамента финансов администрации города Перми от 10.08.2018 № СЭД-059-06-01.01-03-р-120 (в редакции от 06.06.2024 </w:t>
        <w:br/>
        <w:t xml:space="preserve">№ 059-06-01/01-03-р-124) (далее - Порядок), следующие изменения: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1.1. </w:t>
      </w:r>
      <w:r>
        <w:rPr>
          <w:b w:val="0"/>
          <w:bCs w:val="0"/>
          <w:sz w:val="28"/>
          <w:szCs w:val="28"/>
          <w:highlight w:val="none"/>
        </w:rPr>
        <w:t xml:space="preserve">Абзац </w:t>
      </w:r>
      <w:r>
        <w:rPr>
          <w:b w:val="0"/>
          <w:bCs w:val="0"/>
          <w:sz w:val="28"/>
          <w:szCs w:val="28"/>
          <w:highlight w:val="none"/>
        </w:rPr>
        <w:t xml:space="preserve">трет</w:t>
      </w:r>
      <w:r>
        <w:rPr>
          <w:b w:val="0"/>
          <w:bCs w:val="0"/>
          <w:sz w:val="28"/>
          <w:szCs w:val="28"/>
          <w:highlight w:val="none"/>
        </w:rPr>
        <w:t xml:space="preserve">ий пункта 2 Порядка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1.2. Абзац четвертый пункта 2 Порядка изложить в редакции: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« Аналитический учет по счету ведется в разрезе объектов в составе нефинансовых активов имущества казны, идентификационных номеров объектов нефинансовых активов (реестровых номеров).»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;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1.3. Пункт 2 Порядка </w:t>
      </w:r>
      <w:r>
        <w:rPr>
          <w:b w:val="0"/>
          <w:bCs w:val="0"/>
          <w:sz w:val="28"/>
          <w:szCs w:val="28"/>
          <w:highlight w:val="none"/>
        </w:rPr>
        <w:t xml:space="preserve">дополнить абзацем пятым</w:t>
      </w:r>
      <w:r>
        <w:rPr>
          <w:b w:val="0"/>
          <w:bCs w:val="0"/>
          <w:sz w:val="28"/>
          <w:szCs w:val="28"/>
          <w:highlight w:val="none"/>
        </w:rPr>
        <w:t xml:space="preserve"> следующего содержания: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«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функциональным органам администрации города Перми, уполномоченным </w:t>
        <w:br/>
        <w:t xml:space="preserve">на управление и распоряжение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имуществом, составляющим муниципальную казну города Перми, относятся: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управление жилищных отношений администрации города Перми - в части учета муниципального жилищного фонда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составе имущества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муниципальной казны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департамент земельных отношений администрации города Перми - в части учета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составе имущества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муниципальной казны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управление по экологии и природопользованию администрации </w:t>
        <w:br/>
        <w:t xml:space="preserve">города Перми - в части учета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лесных участков,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водных объектов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составе имущества муниципальной казны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департамент имущественных отношений администрации города Перми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части учета прочего имущества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составе имущества муниципальной казны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  <w:t xml:space="preserve">1.4. </w:t>
      </w:r>
      <w:r>
        <w:rPr>
          <w:b w:val="0"/>
          <w:bCs w:val="0"/>
          <w:sz w:val="28"/>
          <w:szCs w:val="28"/>
          <w:highlight w:val="none"/>
        </w:rPr>
        <w:t xml:space="preserve">По всему тексту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слова «функциональный орган администрации города Перми,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ществляющий полномочия собственника муниципального имущества города Перми»,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функциональный орган администрации города Перми,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ществляющий полномочия собственника имущества муниципальной казны города Перми» и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функциональный орган администрации города Перми,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ществляющий полномочия собственника имущества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заменить словами «функциональные органы администрации города Перми, осуществляющие полномочия управления и распоряжения имуществом, составляющим муниципальную казну города Перми» </w:t>
      </w:r>
      <w:r>
        <w:rPr>
          <w:b w:val="0"/>
          <w:bCs w:val="0"/>
          <w:sz w:val="28"/>
          <w:szCs w:val="28"/>
          <w:highlight w:val="none"/>
        </w:rPr>
        <w:t xml:space="preserve">в соответствующем падеже.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Начальнику управления по обеспечению деятельности департамента финансов администрации города Перми Гостюшевой С.А. обеспечить размещение настоящего распоряжения на сайте департамента финансов администрации города Перми.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3. Настоящее распоряжение вступает в силу с 01.11.2025 года.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4. Контроль за исполнением распоряжения возложить на начальника управления учета и отчетности департамента финансов администрации города Перми Рыбальченко Л.В.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8"/>
    <w:link w:val="886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8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6"/>
    <w:uiPriority w:val="99"/>
  </w:style>
  <w:style w:type="character" w:styleId="739">
    <w:name w:val="Footer Char"/>
    <w:basedOn w:val="888"/>
    <w:link w:val="894"/>
    <w:uiPriority w:val="99"/>
  </w:style>
  <w:style w:type="character" w:styleId="740">
    <w:name w:val="Caption Char"/>
    <w:basedOn w:val="891"/>
    <w:link w:val="894"/>
    <w:uiPriority w:val="99"/>
  </w:style>
  <w:style w:type="table" w:styleId="741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next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Heading 2"/>
    <w:basedOn w:val="885"/>
    <w:next w:val="885"/>
    <w:qFormat/>
    <w:pPr>
      <w:ind w:right="-1"/>
      <w:jc w:val="both"/>
      <w:keepNext/>
      <w:outlineLvl w:val="1"/>
    </w:pPr>
    <w:rPr>
      <w:sz w:val="24"/>
    </w:r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Caption"/>
    <w:basedOn w:val="885"/>
    <w:next w:val="8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885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885"/>
    <w:pPr>
      <w:ind w:right="-1"/>
      <w:jc w:val="both"/>
    </w:pPr>
    <w:rPr>
      <w:sz w:val="26"/>
    </w:rPr>
  </w:style>
  <w:style w:type="paragraph" w:styleId="894">
    <w:name w:val="Footer"/>
    <w:basedOn w:val="885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888"/>
  </w:style>
  <w:style w:type="paragraph" w:styleId="896">
    <w:name w:val="Header"/>
    <w:basedOn w:val="885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885"/>
    <w:link w:val="898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rPr>
      <w:rFonts w:ascii="Segoe UI" w:hAnsi="Segoe UI" w:cs="Segoe UI"/>
      <w:sz w:val="18"/>
      <w:szCs w:val="18"/>
    </w:rPr>
  </w:style>
  <w:style w:type="paragraph" w:styleId="89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df-consperm.gorodperm.ru/cons/cgi/online.cgi?req=doc&amp;base=LAW&amp;n=450185&amp;date=16.10.2025&amp;dst=100961&amp;field=134" TargetMode="External"/><Relationship Id="rId14" Type="http://schemas.openxmlformats.org/officeDocument/2006/relationships/hyperlink" Target="http://df-consperm.gorodperm.ru/cons/cgi/online.cgi?req=doc&amp;base=RLAW368&amp;n=162095&amp;date=16.10.2025&amp;dst=10001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9</cp:revision>
  <dcterms:created xsi:type="dcterms:W3CDTF">2024-10-25T09:38:00Z</dcterms:created>
  <dcterms:modified xsi:type="dcterms:W3CDTF">2025-10-20T05:04:44Z</dcterms:modified>
</cp:coreProperties>
</file>