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72221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722214"/>
                          <a:chOff x="0" y="0"/>
                          <a:chExt cx="6285864" cy="172221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562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1399093"/>
                            <a:ext cx="1536064" cy="31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402384"/>
                            <a:ext cx="1085850" cy="319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35.61pt;mso-wrap-distance-left:9.00pt;mso-wrap-distance-top:0.00pt;mso-wrap-distance-right:9.00pt;mso-wrap-distance-bottom:0.00pt;" coordorigin="0,0" coordsize="62858,17222">
                <v:shape id="shape 2" o:spid="_x0000_s2" o:spt="202" type="#_x0000_t202" style="position:absolute;left:0;top:0;width:62858;height:15622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3990;width:15360;height:3198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4023;width:10858;height:3198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25.12.2025            </w:t>
      </w:r>
      <w:r>
        <w:rPr>
          <w:b w:val="0"/>
          <w:bCs w:val="0"/>
          <w:sz w:val="28"/>
          <w:szCs w:val="28"/>
        </w:rPr>
        <w:t xml:space="preserve">059-06-01/01-03-р-37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внесении изменений в Типовую форму </w:t>
      </w:r>
      <w:r>
        <w:rPr>
          <w:b/>
          <w:bCs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договора о предоставлении из бюджета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города Перми субсидий, в том числе грантов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в форме субсидий, юридическим лицам,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индивидуальным предпринимателям,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а также физическим лицам, утвержденную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распоряжением начальника департамента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финансов администрации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15.12.2022 № 059-06-01.01-03-р-304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актуализации правовой базы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Типов</w:t>
      </w:r>
      <w:r>
        <w:rPr>
          <w:sz w:val="28"/>
          <w:szCs w:val="28"/>
        </w:rPr>
        <w:t xml:space="preserve">ую форму</w:t>
      </w:r>
      <w:r>
        <w:rPr>
          <w:sz w:val="28"/>
          <w:szCs w:val="28"/>
        </w:rPr>
        <w:t xml:space="preserve"> договора о предоставлении из бюджета города Перми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sz w:val="28"/>
          <w:szCs w:val="28"/>
        </w:rPr>
        <w:t xml:space="preserve">, утвержденную распоряжением </w:t>
      </w:r>
      <w:r>
        <w:rPr>
          <w:sz w:val="28"/>
          <w:szCs w:val="28"/>
        </w:rPr>
        <w:t xml:space="preserve">начальника департамента финансов администрации города Перми от 15.12.2022 </w:t>
      </w:r>
      <w:r>
        <w:rPr>
          <w:sz w:val="28"/>
          <w:szCs w:val="28"/>
        </w:rPr>
        <w:t xml:space="preserve">№ 059-06-01.01-03-р-304 (в ред. от 28.12.2023 № 059-06-01.01-03-р-305, 20.12.2024 № 059-06-01/01-03-р-322),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дополнить пунктом 3.2.3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3.2.3. на лицевой счет для осуществления и отражения операций с денежными средствами участников казначейского сопровождения, открытый в департаменте финансов администрации города Перми для использования Субсидии </w:t>
      </w:r>
      <w:r>
        <w:rPr>
          <w:sz w:val="28"/>
          <w:szCs w:val="28"/>
          <w:highlight w:val="none"/>
          <w:vertAlign w:val="superscript"/>
        </w:rPr>
        <w:t xml:space="preserve">13.1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3.2.3.1. в соответствии со сведениями об операциях с целевыми средствами (далее - Сведения), утвержденными в соответствии с пунктом 4.1.3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настоящего договора;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.2.3.2. после проверки информации о суммах и направлениях использования средств, указанной в распоряжении о совершении казначейского платежа для оплаты денежного обязательства Получателя, на финансовое обеспечение которого предоставляется Субсидия (далее -</w:t>
      </w:r>
      <w:r>
        <w:rPr>
          <w:sz w:val="28"/>
          <w:szCs w:val="28"/>
          <w:highlight w:val="none"/>
        </w:rPr>
        <w:t xml:space="preserve"> распоряжение), на ее соответствие информации, содержащейся в настоящем договоре, и документах, подтверждающих возникновение денежных обязательств участника казначейского сопровождения (далее - документы-основания);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3.2.3.3. после осуществления департаментом финансов администрации города Перми санкционирования операций при казначейском сопровождении на основании документов-оснований </w:t>
      </w:r>
      <w:r>
        <w:rPr>
          <w:sz w:val="28"/>
          <w:szCs w:val="28"/>
          <w:highlight w:val="none"/>
          <w:vertAlign w:val="superscript"/>
        </w:rPr>
        <w:t xml:space="preserve">13.2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3.2.3.4. при указании в распоряжениях, а также в документах-основаниях идентификатора настоящего договора;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3.2.3.5. ______________________________________________ </w:t>
      </w:r>
      <w:r>
        <w:rPr>
          <w:sz w:val="28"/>
          <w:szCs w:val="28"/>
          <w:highlight w:val="none"/>
          <w:vertAlign w:val="superscript"/>
        </w:rPr>
        <w:t xml:space="preserve">13.3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»; 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</w:t>
      </w:r>
      <w:r>
        <w:rPr>
          <w:sz w:val="28"/>
          <w:szCs w:val="28"/>
          <w:highlight w:val="none"/>
        </w:rPr>
        <w:t xml:space="preserve">дополнить пунктом 4.1.3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следующего содержани</w:t>
      </w:r>
      <w:r>
        <w:rPr>
          <w:sz w:val="28"/>
          <w:szCs w:val="28"/>
          <w:highlight w:val="none"/>
        </w:rPr>
        <w:t xml:space="preserve">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4.1.3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. утверждать Сведения, в том числе с учетом внесенных изменений не позднее _____ рабочего дня со дня их получения от Получателя в соответствии с пунктом 4.3.1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</w:rPr>
        <w:t xml:space="preserve"> настоящего договора </w:t>
      </w:r>
      <w:r>
        <w:rPr>
          <w:sz w:val="28"/>
          <w:szCs w:val="28"/>
          <w:highlight w:val="none"/>
          <w:vertAlign w:val="superscript"/>
        </w:rPr>
        <w:t xml:space="preserve">13.1»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</w:rPr>
        <w:t xml:space="preserve">1.3. дополнить пунктами 4.3.1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- 4.3.1</w:t>
      </w:r>
      <w:r>
        <w:rPr>
          <w:sz w:val="28"/>
          <w:szCs w:val="28"/>
          <w:highlight w:val="none"/>
          <w:vertAlign w:val="superscript"/>
        </w:rPr>
        <w:t xml:space="preserve">3</w:t>
      </w:r>
      <w:r>
        <w:rPr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  <w:vertAlign w:val="baseline"/>
        </w:rPr>
        <w:t xml:space="preserve">«4.3.1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.  не  позднее  ____  рабочего  дня  со  дня подписания настоящего договора представить в департамент финансов администрации города Перми документы, необходимые для открытия лицевого счета </w:t>
      </w:r>
      <w:r>
        <w:rPr>
          <w:sz w:val="28"/>
          <w:szCs w:val="28"/>
          <w:highlight w:val="none"/>
          <w:vertAlign w:val="superscript"/>
        </w:rPr>
        <w:t xml:space="preserve">34.1</w:t>
      </w:r>
      <w:r>
        <w:rPr>
          <w:sz w:val="28"/>
          <w:szCs w:val="28"/>
          <w:highlight w:val="none"/>
          <w:vertAlign w:val="baseline"/>
        </w:rPr>
        <w:t xml:space="preserve">;</w:t>
      </w:r>
      <w:r>
        <w:rPr>
          <w:sz w:val="28"/>
          <w:szCs w:val="28"/>
          <w:highlight w:val="none"/>
          <w:vertAlign w:val="baseline"/>
        </w:rPr>
      </w:r>
      <w:r/>
    </w:p>
    <w:p>
      <w:pPr>
        <w:ind w:firstLine="709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4.3.1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  <w:vertAlign w:val="baseline"/>
        </w:rPr>
        <w:t xml:space="preserve">. направлять в _____________________________________________ на 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                                      </w:t>
      </w:r>
      <w:r>
        <w:rPr>
          <w:sz w:val="28"/>
          <w:szCs w:val="28"/>
          <w:highlight w:val="none"/>
          <w:vertAlign w:val="baseline"/>
        </w:rPr>
        <w:t xml:space="preserve"> (департамент, управление, комитет, иной орган)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утверждение </w:t>
      </w:r>
      <w:r>
        <w:rPr>
          <w:sz w:val="28"/>
          <w:szCs w:val="28"/>
          <w:highlight w:val="none"/>
          <w:vertAlign w:val="superscript"/>
        </w:rPr>
        <w:t xml:space="preserve">13.1</w:t>
      </w:r>
      <w:r>
        <w:rPr>
          <w:sz w:val="28"/>
          <w:szCs w:val="28"/>
          <w:highlight w:val="none"/>
          <w:vertAlign w:val="baseline"/>
        </w:rPr>
        <w:t xml:space="preserve">:</w:t>
      </w:r>
      <w:r>
        <w:rPr>
          <w:sz w:val="28"/>
          <w:szCs w:val="28"/>
          <w:highlight w:val="none"/>
          <w:vertAlign w:val="baseline"/>
        </w:rPr>
        <w:t xml:space="preserve">                           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  <w:vertAlign w:val="baseline"/>
        </w:rPr>
        <w:t xml:space="preserve">4.3.1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  <w:vertAlign w:val="baseline"/>
        </w:rPr>
        <w:t xml:space="preserve">.1. Сведения не позднее ____ рабочего дня со дня заключения настоящего договора;</w:t>
      </w:r>
      <w:r>
        <w:rPr>
          <w:sz w:val="28"/>
          <w:szCs w:val="28"/>
          <w:highlight w:val="none"/>
          <w:vertAlign w:val="baseli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  <w:vertAlign w:val="baseline"/>
        </w:rPr>
        <w:t xml:space="preserve">4.3.1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  <w:vertAlign w:val="baseline"/>
        </w:rPr>
        <w:t xml:space="preserve">.2. Сведения с учетом внесенных изменений не позднее ____ рабочего дня со дня внесения в них изменений;</w:t>
      </w:r>
      <w:r>
        <w:rPr>
          <w:sz w:val="28"/>
          <w:szCs w:val="28"/>
          <w:highlight w:val="none"/>
          <w:vertAlign w:val="baseline"/>
        </w:rPr>
      </w:r>
      <w:r/>
    </w:p>
    <w:p>
      <w:pPr>
        <w:ind w:firstLine="709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4.3.1</w:t>
      </w:r>
      <w:r>
        <w:rPr>
          <w:sz w:val="28"/>
          <w:szCs w:val="28"/>
          <w:highlight w:val="none"/>
          <w:vertAlign w:val="superscript"/>
        </w:rPr>
        <w:t xml:space="preserve">3</w:t>
      </w:r>
      <w:r>
        <w:rPr>
          <w:sz w:val="28"/>
          <w:szCs w:val="28"/>
          <w:highlight w:val="none"/>
          <w:vertAlign w:val="baseline"/>
        </w:rPr>
        <w:t xml:space="preserve">. направлять Субсидию на финансовое обеспечение затрат, определенных в Сведениях</w:t>
      </w:r>
      <w:r>
        <w:rPr>
          <w:sz w:val="28"/>
          <w:szCs w:val="28"/>
          <w:highlight w:val="none"/>
          <w:vertAlign w:val="superscript"/>
        </w:rPr>
        <w:t xml:space="preserve">13.1</w:t>
      </w:r>
      <w:r>
        <w:rPr>
          <w:sz w:val="28"/>
          <w:szCs w:val="28"/>
          <w:highlight w:val="none"/>
          <w:vertAlign w:val="baseline"/>
        </w:rPr>
        <w:t xml:space="preserve">;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дополнить пунктом 4.3.6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4.3.6. соблюдать следующие условия казначейского сопровождения </w:t>
      </w:r>
      <w:r>
        <w:rPr>
          <w:sz w:val="28"/>
          <w:szCs w:val="28"/>
          <w:highlight w:val="none"/>
          <w:vertAlign w:val="superscript"/>
        </w:rPr>
        <w:t xml:space="preserve">39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4.3.6.1. вести раздельный учет результатов финансово-хозяйственной деятельности по настоящему договору;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4.3.6.2. представлять в департамент финансов администрации города Перми документы-основания;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4.3.6.3. соблюдать запрет на перечисление средств с лицевого счета в случаях, установленных пунктом 3 статьи 242.23 Бюджетного кодекса Российской Федерации;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сноску 11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:vertAlign w:val="superscript"/>
        </w:rPr>
        <w:t xml:space="preserve">11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</w:rPr>
        <w:t xml:space="preserve">Предусматривается в случае, если в отношении Субсидии не осуществляется казначейское сопровождение и Субсидия не предоставляется бюджетному или автономному учреждению.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  сноску 13 дополнить словами «</w:t>
      </w:r>
      <w:r>
        <w:rPr>
          <w:sz w:val="28"/>
          <w:szCs w:val="28"/>
          <w:highlight w:val="none"/>
        </w:rPr>
        <w:t xml:space="preserve">в случае, если в отношении Субсидии не осуществляется казначейское сопровождение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 дополнить сносками 13.1, 13.2, 13.3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:vertAlign w:val="superscript"/>
        </w:rPr>
        <w:t xml:space="preserve">13.1</w:t>
      </w:r>
      <w:r>
        <w:rPr>
          <w:sz w:val="28"/>
          <w:szCs w:val="28"/>
          <w:highlight w:val="none"/>
        </w:rPr>
        <w:t xml:space="preserve"> Предусматривается в случае, если в отношении Субсидии осуществляется казначейское сопровождение.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  <w:vertAlign w:val="superscript"/>
        </w:rPr>
        <w:t xml:space="preserve">13.2</w:t>
      </w:r>
      <w:r>
        <w:rPr>
          <w:sz w:val="28"/>
          <w:szCs w:val="28"/>
          <w:highlight w:val="none"/>
        </w:rPr>
        <w:t xml:space="preserve"> Санкционирование операций осуществляется в соответствии с Порядком осуществления департаментом финансов администрации города Перми санкционирования операций со средствами участников казначейского сопровождения, утвержденным распоряжением начальника деп</w:t>
      </w:r>
      <w:r>
        <w:rPr>
          <w:sz w:val="28"/>
          <w:szCs w:val="28"/>
          <w:highlight w:val="none"/>
        </w:rPr>
        <w:t xml:space="preserve">артамента финансов администрации города Перми от 30.12.2021 № 059-06-01.01-03-р-233.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vertAlign w:val="superscript"/>
        </w:rPr>
        <w:t xml:space="preserve">13.3</w:t>
      </w:r>
      <w:r>
        <w:rPr>
          <w:sz w:val="28"/>
          <w:szCs w:val="28"/>
          <w:highlight w:val="none"/>
        </w:rPr>
        <w:t xml:space="preserve"> Указываются иные конкретные условия, установленные правовыми актами, регулирующими казначейское сопровождение.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1.8. </w:t>
      </w:r>
      <w:r>
        <w:rPr>
          <w:sz w:val="28"/>
          <w:szCs w:val="28"/>
          <w:highlight w:val="none"/>
        </w:rPr>
        <w:t xml:space="preserve">дополнить сноской 34.1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:vertAlign w:val="superscript"/>
        </w:rPr>
        <w:t xml:space="preserve">34.1</w:t>
      </w:r>
      <w:r>
        <w:rPr>
          <w:sz w:val="28"/>
          <w:szCs w:val="28"/>
          <w:highlight w:val="none"/>
        </w:rPr>
        <w:t xml:space="preserve"> Предусматривается при наличии в договоре пунктов 3.2.2 или 3.2.3 настоящей Типовой формы.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 дополнить сноской 39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:vertAlign w:val="superscript"/>
        </w:rPr>
        <w:t xml:space="preserve">39</w:t>
      </w:r>
      <w:r>
        <w:rPr>
          <w:sz w:val="28"/>
          <w:szCs w:val="28"/>
          <w:highlight w:val="none"/>
        </w:rPr>
        <w:t xml:space="preserve"> Предусматривается при наличии в договоре пункта 3.2.3 настоящей Типовой формы.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1.10. в приложении 1 после строк: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1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850"/>
        <w:gridCol w:w="850"/>
        <w:gridCol w:w="850"/>
        <w:gridCol w:w="845"/>
      </w:tblGrid>
      <w:tr>
        <w:tblPrEx/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pStyle w:val="889"/>
              <w:ind w:left="283" w:righ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закупка работ и услуг, всего: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4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527" w:type="dxa"/>
            <w:textDirection w:val="lrTb"/>
            <w:noWrap w:val="false"/>
          </w:tcPr>
          <w:p>
            <w:pPr>
              <w:pStyle w:val="889"/>
              <w:ind w:left="566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 них: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89"/>
              <w:ind w:left="566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оплата работ и услуг контрагентам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527" w:type="dxa"/>
            <w:textDirection w:val="lrTb"/>
            <w:noWrap w:val="false"/>
          </w:tcPr>
          <w:p>
            <w:pPr>
              <w:pStyle w:val="889"/>
              <w:ind w:left="566" w:right="0" w:firstLine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 них: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строкой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1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850"/>
        <w:gridCol w:w="850"/>
        <w:gridCol w:w="850"/>
        <w:gridCol w:w="845"/>
      </w:tblGrid>
      <w:tr>
        <w:tblPrEx/>
        <w:trPr/>
        <w:tc>
          <w:tcPr>
            <w:tcW w:w="5527" w:type="dxa"/>
            <w:textDirection w:val="lrTb"/>
            <w:noWrap w:val="false"/>
          </w:tcPr>
          <w:p>
            <w:pPr>
              <w:pStyle w:val="889"/>
              <w:ind w:left="566"/>
              <w:rPr>
                <w:lang w:val="ru-RU"/>
              </w:rPr>
            </w:pPr>
            <w:r>
              <w:rPr>
                <w:lang w:val="ru-RU"/>
              </w:rPr>
              <w:t xml:space="preserve">налог на добавленную стоимость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распоряжение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и применяется при формировании договоров о предоставлении из бюджета города Перми субсидий, в том числе грантов в форме субсидий, юридическим лицам, индивидуальным предпринимателям, а также физическим лицам, начиная с договоров на 2026 год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Начальнику управления бюджетной методологии и межбюджетных отношений департамента финансов администрации города Перми Антипиной Т.Ф. обеспечить </w:t>
      </w:r>
      <w:r>
        <w:rPr>
          <w:sz w:val="28"/>
          <w:szCs w:val="28"/>
        </w:rPr>
        <w:t xml:space="preserve">направление настоящего распоряжения в управление по общим вопросам администрации города Перми для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образования город Пермь» и в информационно-аналитическое управление администрации города Перми для обнародования посредством официального опубликования  в сетевом издании «Официальный сайт муниципального образования город Пермь www.gorodperm.</w:t>
      </w:r>
      <w:r>
        <w:rPr>
          <w:sz w:val="28"/>
          <w:szCs w:val="28"/>
        </w:rPr>
        <w:t xml:space="preserve">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Заместителю начальника департамента – начальнику управления расходов бюджета департамента финансов администрации города Перми Канзепаровой И.В. разместить настоящее распоряжение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на начальника управления казначейства департамента финансов администрации города Перми Молчанову Н.П.</w:t>
      </w:r>
      <w:r>
        <w:rPr>
          <w:sz w:val="28"/>
          <w:szCs w:val="28"/>
        </w:rPr>
      </w:r>
      <w:r/>
    </w:p>
    <w:p>
      <w:pPr>
        <w:pStyle w:val="8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  <w:tab/>
        <w:tab/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5"/>
    <w:next w:val="875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8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5"/>
    <w:next w:val="875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8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8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8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8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8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5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8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8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8"/>
    <w:link w:val="886"/>
    <w:uiPriority w:val="99"/>
  </w:style>
  <w:style w:type="character" w:styleId="729">
    <w:name w:val="Footer Char"/>
    <w:basedOn w:val="878"/>
    <w:link w:val="884"/>
    <w:uiPriority w:val="99"/>
  </w:style>
  <w:style w:type="character" w:styleId="730">
    <w:name w:val="Caption Char"/>
    <w:basedOn w:val="881"/>
    <w:link w:val="884"/>
    <w:uiPriority w:val="99"/>
  </w:style>
  <w:style w:type="table" w:styleId="731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Caption"/>
    <w:basedOn w:val="875"/>
    <w:next w:val="875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paragraph" w:styleId="88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11</cp:revision>
  <dcterms:created xsi:type="dcterms:W3CDTF">2024-10-25T09:38:00Z</dcterms:created>
  <dcterms:modified xsi:type="dcterms:W3CDTF">2025-12-25T09:15:55Z</dcterms:modified>
</cp:coreProperties>
</file>