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9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10.03.2026            </w:t>
      </w:r>
      <w:r>
        <w:rPr>
          <w:sz w:val="28"/>
          <w:szCs w:val="28"/>
        </w:rPr>
        <w:t xml:space="preserve">059-06-01/01-03-р-52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3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внесении изменений в распоряжение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начальника департамента финансов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18.12.2025</w:t>
      </w:r>
      <w:r>
        <w:rPr>
          <w:b/>
          <w:sz w:val="28"/>
          <w:szCs w:val="28"/>
        </w:rPr>
        <w:t xml:space="preserve"> № 059-06-01/01-03-р-33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«О сроках представления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3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месячной бюджетной (бухгалтерской)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отчетности»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"https://login.consultant.ru/link/?req=doc&amp;base=LAW&amp;n=461085&amp;dst=4928"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статьей 264.2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Бюджетного кодекса Российской Федерации,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"https://login.consultant.ru/link/?req=doc&amp;base=LAW&amp;n=451907&amp;dst=16512"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пунктом 10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Инструкции о порядке составления и представления годовой, квартальной и месячной отчетности об использовании бюджетов бюджетной системы Российской Федерации, утвержденной Приказом Министерства финансов Российской Федерации от 28 декабря 2010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191н, </w:t>
      </w:r>
      <w:r>
        <w:rPr>
          <w:sz w:val="28"/>
          <w:szCs w:val="28"/>
        </w:rPr>
        <w:t xml:space="preserve">пунктами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6,</w:t>
      </w:r>
      <w:r>
        <w:rPr>
          <w:sz w:val="28"/>
          <w:szCs w:val="28"/>
        </w:rPr>
        <w:t xml:space="preserve"> 8,</w:t>
      </w:r>
      <w:r>
        <w:rPr>
          <w:sz w:val="28"/>
          <w:szCs w:val="28"/>
        </w:rPr>
        <w:t xml:space="preserve"> 47.1 Инструкции о порядке сос</w:t>
      </w:r>
      <w:r>
        <w:rPr>
          <w:sz w:val="28"/>
          <w:szCs w:val="28"/>
        </w:rPr>
        <w:t xml:space="preserve">тавления, представления годовой, квартальной</w:t>
      </w:r>
      <w:r>
        <w:rPr>
          <w:sz w:val="28"/>
          <w:szCs w:val="28"/>
        </w:rPr>
        <w:t xml:space="preserve"> бухгалтерской отчетности государственных (муниципальных) бюджетных </w:t>
        <w:br/>
        <w:t xml:space="preserve">и автономных учреждений, утвержденной приказом </w:t>
      </w:r>
      <w:r>
        <w:rPr>
          <w:sz w:val="28"/>
          <w:szCs w:val="28"/>
        </w:rPr>
        <w:t xml:space="preserve">Министерства финансов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25 марта 2011 г.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33н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"https://login.consultant.ru/link/?req=doc&amp;base=RLAW368&amp;n=185946&amp;dst=100345"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статьей 21 Положения о бюджете и бюджетном процессе в городе Перми, утвержденного 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решением Пермской городской Думы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 августа 2007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185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 Внести </w:t>
      </w:r>
      <w:r>
        <w:rPr>
          <w:sz w:val="28"/>
          <w:szCs w:val="28"/>
        </w:rPr>
        <w:t xml:space="preserve">в распоряжение </w:t>
      </w:r>
      <w:r>
        <w:rPr>
          <w:sz w:val="28"/>
          <w:szCs w:val="28"/>
        </w:rPr>
        <w:t xml:space="preserve">начальника департамента финансов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18 декабря 2025</w:t>
      </w:r>
      <w:r>
        <w:rPr>
          <w:sz w:val="28"/>
          <w:szCs w:val="28"/>
        </w:rPr>
        <w:t xml:space="preserve"> г. № 059-06-01/01-03-р-33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«О сроках представления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месячной бюджетной (бухгалтерской)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отчетности» </w:t>
        <w:br/>
      </w:r>
      <w:r>
        <w:rPr>
          <w:b w:val="0"/>
          <w:bCs w:val="0"/>
          <w:sz w:val="28"/>
          <w:szCs w:val="28"/>
          <w:highlight w:val="none"/>
        </w:rPr>
        <w:t xml:space="preserve">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 xml:space="preserve">1.1. Подпункт 2.1. дополнить абзацем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Справка о суммах консолидируемых поступлений,</w:t>
      </w:r>
      <w:r>
        <w:rPr>
          <w:sz w:val="28"/>
          <w:szCs w:val="28"/>
        </w:rPr>
        <w:t xml:space="preserve">подлежащих зачислению на счет бюджета</w:t>
      </w:r>
      <w:r>
        <w:rPr>
          <w:sz w:val="28"/>
          <w:szCs w:val="28"/>
        </w:rPr>
        <w:t xml:space="preserve"> (ф. 0503184).»;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1.2. Подпункт 2.2.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«2.2. Не позднее 11 числа месяца, следующего за отчетным, в составе: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Отчет о бюджетных обязательствах, содержащий данные о принятии </w:t>
        <w:br/>
        <w:t xml:space="preserve">и исполнении получателями бюджет</w:t>
      </w:r>
      <w:r>
        <w:rPr>
          <w:sz w:val="28"/>
          <w:szCs w:val="28"/>
          <w:highlight w:val="none"/>
        </w:rPr>
        <w:t xml:space="preserve">ных средств бюджетных обязательств в ходе реализации национальных проектов (региональных проектов, обеспечивающих достижении показателей и реализацию мероприятий (результатов) федеральных проектов, входящих в состав национальных проектов) (ф. 0503128-НП);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Пояснительная записка (ф.0503160);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Сведения по дебиторской и кредиторской задолженности (ф. 0503169);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Сведения об изменении остатков валюты баланса (ф. 0503173);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Информация о кредиторской задолженности;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Информация о дебиторской задолженности по доходам.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</w:pPr>
      <w:r>
        <w:rPr>
          <w:sz w:val="28"/>
          <w:szCs w:val="28"/>
          <w:highlight w:val="none"/>
        </w:rPr>
        <w:t xml:space="preserve">- Справка (ф.0503125) по следующим счетам бюджетного учета </w:t>
        <w:br/>
      </w:r>
      <w:r>
        <w:rPr>
          <w:sz w:val="28"/>
          <w:szCs w:val="28"/>
          <w:highlight w:val="none"/>
        </w:rPr>
        <w:t xml:space="preserve">140110189, 140110191, 14</w:t>
      </w:r>
      <w:r>
        <w:rPr>
          <w:sz w:val="28"/>
          <w:szCs w:val="28"/>
          <w:highlight w:val="none"/>
        </w:rPr>
        <w:t xml:space="preserve">0110195, 140120241, 140120251, 140120254, 140120281</w:t>
      </w:r>
      <w:r>
        <w:rPr>
          <w:sz w:val="28"/>
          <w:szCs w:val="28"/>
          <w:highlight w:val="none"/>
        </w:rPr>
        <w:t xml:space="preserve"> </w:t>
        <w:br/>
        <w:t xml:space="preserve">в части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расчетов между финансовыми органами муниципальных образований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Пермского края и другими участниками консолидированного бюджета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Российской Федерации по безвозмездной передаче (получению) финансовых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(за исключением денежных средств), нефинансовых активов и обязательств 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представляется </w:t>
        <w:br/>
        <w:t xml:space="preserve">в составе месячной бюджетной отчетности по состоянию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 1 ноября 2026 года– </w:t>
        <w:br/>
        <w:t xml:space="preserve">в срок не позднее 13 ноября 2026 года.</w:t>
      </w:r>
      <w:r>
        <w:rPr>
          <w:sz w:val="28"/>
          <w:szCs w:val="28"/>
          <w:highlight w:val="none"/>
        </w:rPr>
        <w:t xml:space="preserve">»;</w:t>
      </w:r>
      <w:r/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 Дополнить подпунктом 2.3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«2.3. Дополнительно к отчетам, представляемым в составе месячной </w:t>
      </w:r>
      <w:r>
        <w:rPr>
          <w:sz w:val="28"/>
          <w:szCs w:val="28"/>
          <w:highlight w:val="none"/>
        </w:rPr>
        <w:t xml:space="preserve">бюджетной отчетности согласно Инструкции № 191н, составляются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и представляются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2.3.1. форма 1 «Показатели исполнения бюджетов» (в части раздела «Кредиторская задолженность») по состоянию на 01 июня 2026 г. - </w:t>
      </w:r>
      <w:r>
        <w:rPr>
          <w:sz w:val="28"/>
          <w:szCs w:val="28"/>
          <w:highlight w:val="none"/>
        </w:rPr>
        <w:t xml:space="preserve">в срок </w:t>
        <w:br/>
      </w:r>
      <w:r>
        <w:rPr>
          <w:sz w:val="28"/>
          <w:szCs w:val="28"/>
          <w:highlight w:val="none"/>
        </w:rPr>
        <w:t xml:space="preserve">не позднее 11 июня 2026 г.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widowControl w:val="off"/>
        <w:rPr>
          <w:highlight w:val="none"/>
        </w:rPr>
      </w:pPr>
      <w:r>
        <w:rPr>
          <w:sz w:val="28"/>
          <w:szCs w:val="28"/>
          <w:highlight w:val="none"/>
        </w:rPr>
        <w:t xml:space="preserve">2.3.2. </w:t>
      </w:r>
      <w:r>
        <w:rPr>
          <w:sz w:val="28"/>
          <w:szCs w:val="28"/>
          <w:highlight w:val="none"/>
        </w:rPr>
        <w:t xml:space="preserve">Сведения по безвозмездной передаче (получению) нефинансовых </w:t>
      </w:r>
      <w:r>
        <w:rPr>
          <w:sz w:val="28"/>
          <w:szCs w:val="28"/>
          <w:highlight w:val="none"/>
        </w:rPr>
        <w:t xml:space="preserve">активов, финансовых активов (ф.Х25 КУ) (далее – ф.Х25 КУ) по счетам </w:t>
      </w:r>
      <w:r>
        <w:rPr>
          <w:sz w:val="28"/>
          <w:szCs w:val="28"/>
          <w:highlight w:val="none"/>
        </w:rPr>
        <w:t xml:space="preserve">бюджетного (бухгалтерского) учета 140110189, 140110191, 140110195, </w:t>
      </w:r>
      <w:r>
        <w:rPr>
          <w:sz w:val="28"/>
          <w:szCs w:val="28"/>
          <w:highlight w:val="none"/>
        </w:rPr>
        <w:t xml:space="preserve">140120251, 140120241, 140120254, 140120281 по состоянию на 1 ноября 2026 г. – в срок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не позднее 13 ноября 2026 г.»</w:t>
      </w:r>
      <w:r>
        <w:rPr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1.4. Пункт 3 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«3. Установить срок представления главными распорядителями бюджетных средств города Перми, </w:t>
      </w:r>
      <w:r>
        <w:rPr>
          <w:sz w:val="28"/>
          <w:szCs w:val="28"/>
          <w:highlight w:val="none"/>
        </w:rPr>
        <w:t xml:space="preserve">осуществляющими в отношении автономных</w:t>
      </w:r>
      <w:r>
        <w:t xml:space="preserve"> </w:t>
      </w:r>
      <w:r>
        <w:rPr>
          <w:sz w:val="28"/>
          <w:szCs w:val="28"/>
          <w:highlight w:val="none"/>
        </w:rPr>
        <w:t xml:space="preserve">и бюджетных учреждений полномочия учредителя, в департамент финансов</w:t>
      </w:r>
      <w:r>
        <w:t xml:space="preserve"> </w:t>
      </w:r>
      <w:r>
        <w:rPr>
          <w:sz w:val="28"/>
          <w:szCs w:val="28"/>
          <w:highlight w:val="none"/>
        </w:rPr>
        <w:t xml:space="preserve">сводной месячной бухгалтерской отчетности не позднее 11 числа месяца,</w:t>
      </w:r>
      <w:r>
        <w:t xml:space="preserve"> </w:t>
      </w:r>
      <w:r>
        <w:rPr>
          <w:sz w:val="28"/>
          <w:szCs w:val="28"/>
          <w:highlight w:val="none"/>
        </w:rPr>
        <w:t xml:space="preserve">следующего </w:t>
        <w:br/>
        <w:t xml:space="preserve">за отчетным</w:t>
      </w:r>
      <w:r>
        <w:rPr>
          <w:sz w:val="28"/>
          <w:szCs w:val="28"/>
          <w:highlight w:val="none"/>
        </w:rPr>
        <w:t xml:space="preserve">, в составе: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Отчет об обязательствах учреждения, содержащий данные о принятии </w:t>
        <w:br/>
      </w:r>
      <w:r>
        <w:rPr>
          <w:sz w:val="28"/>
          <w:szCs w:val="28"/>
          <w:highlight w:val="none"/>
        </w:rPr>
        <w:t xml:space="preserve">и исполнении учреждением обязательств в ходе реализации национальных</w:t>
      </w:r>
      <w:r>
        <w:t xml:space="preserve"> </w:t>
      </w:r>
      <w:r>
        <w:rPr>
          <w:sz w:val="28"/>
          <w:szCs w:val="28"/>
          <w:highlight w:val="none"/>
        </w:rPr>
        <w:t xml:space="preserve">проектов (</w:t>
      </w:r>
      <w:r>
        <w:rPr>
          <w:sz w:val="28"/>
          <w:szCs w:val="28"/>
          <w:highlight w:val="none"/>
        </w:rPr>
        <w:t xml:space="preserve">региональных проектов, обеспечивающих достижении показателей </w:t>
        <w:br/>
        <w:t xml:space="preserve">и реализацию мероприятий (результатов) федеральных проектов, входящих </w:t>
        <w:br/>
        <w:t xml:space="preserve">в состав национальных проектов)</w:t>
      </w:r>
      <w:r>
        <w:rPr>
          <w:sz w:val="28"/>
          <w:szCs w:val="28"/>
          <w:highlight w:val="none"/>
        </w:rPr>
        <w:t xml:space="preserve"> (ф. 0503738-НП);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Сведения по дебиторской и кредиторской задолженности учреждения</w:t>
        <w:br/>
        <w:t xml:space="preserve"> (ф. 0503769);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</w:pPr>
      <w:r>
        <w:rPr>
          <w:sz w:val="28"/>
          <w:szCs w:val="28"/>
          <w:highlight w:val="none"/>
        </w:rPr>
        <w:t xml:space="preserve">- Сведения об изменении остатков валюты баланса учреждения </w:t>
        <w:br/>
        <w:t xml:space="preserve">(ф. 0503773);</w:t>
      </w:r>
      <w:r/>
    </w:p>
    <w:p>
      <w:pPr>
        <w:ind w:firstLine="720"/>
        <w:jc w:val="both"/>
        <w:widowControl w:val="off"/>
      </w:pPr>
      <w:r>
        <w:rPr>
          <w:sz w:val="28"/>
          <w:szCs w:val="28"/>
          <w:highlight w:val="none"/>
        </w:rPr>
        <w:t xml:space="preserve">- Пояснительная записка к балансу учреждения (ф. 0503760);</w:t>
      </w:r>
      <w:r/>
    </w:p>
    <w:p>
      <w:pPr>
        <w:ind w:firstLine="720"/>
        <w:jc w:val="both"/>
        <w:widowControl w:val="off"/>
      </w:pPr>
      <w:r>
        <w:rPr>
          <w:sz w:val="28"/>
          <w:szCs w:val="28"/>
          <w:highlight w:val="none"/>
        </w:rPr>
        <w:t xml:space="preserve">- Информация о кредиторской задолженности;</w:t>
      </w:r>
      <w:r/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Информация о дебиторской задолженности по доходам;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Справка по консолидируемым расчетам учреждения (ф.0503725) </w:t>
        <w:br/>
      </w:r>
      <w:r>
        <w:rPr>
          <w:sz w:val="28"/>
          <w:szCs w:val="28"/>
          <w:highlight w:val="none"/>
        </w:rPr>
        <w:t xml:space="preserve">по следующим счетам бухгалтерского учета 030406000 (230406000,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430406000, 530406000, 630406000) в части бухгалтерских операций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по изменению в течение финансового года типа казенного учреждения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на бюджетное или автономное или при изменении типа бюджетного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или автономного учреждения на казенное учреждение в составе месячной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бухгалтерской отчетности по состоянию на 1 ноября 2026 года в срок не позднее</w:t>
      </w:r>
      <w:r>
        <w:rPr>
          <w:sz w:val="28"/>
          <w:szCs w:val="28"/>
          <w:highlight w:val="none"/>
        </w:rPr>
        <w:t xml:space="preserve"> </w:t>
        <w:br/>
        <w:t xml:space="preserve">13</w:t>
      </w:r>
      <w:r>
        <w:rPr>
          <w:sz w:val="28"/>
          <w:szCs w:val="28"/>
          <w:highlight w:val="none"/>
        </w:rPr>
        <w:t xml:space="preserve"> ноября 2026 года;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</w:pPr>
      <w:r>
        <w:rPr>
          <w:sz w:val="28"/>
          <w:szCs w:val="28"/>
          <w:highlight w:val="none"/>
        </w:rPr>
        <w:t xml:space="preserve">Дополнительно к отчетам, представляемым в составе месячной </w:t>
      </w:r>
      <w:r>
        <w:rPr>
          <w:sz w:val="28"/>
          <w:szCs w:val="28"/>
          <w:highlight w:val="none"/>
        </w:rPr>
        <w:t xml:space="preserve">бухгалтерской отчетности согласно Инструкции № 33н, составляются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и представляются:</w:t>
      </w:r>
      <w:r/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- форма 1 «Показатели исполнения бюджетов» (в части раздела «Кредиторская задолженность») </w:t>
      </w:r>
      <w:r>
        <w:rPr>
          <w:sz w:val="28"/>
          <w:szCs w:val="28"/>
          <w:highlight w:val="none"/>
        </w:rPr>
        <w:t xml:space="preserve">по состоянию на 01 июня 2026 г. - </w:t>
      </w:r>
      <w:r>
        <w:rPr>
          <w:sz w:val="28"/>
          <w:szCs w:val="28"/>
          <w:highlight w:val="none"/>
        </w:rPr>
        <w:t xml:space="preserve">в срок </w:t>
        <w:br/>
      </w:r>
      <w:r>
        <w:rPr>
          <w:sz w:val="28"/>
          <w:szCs w:val="28"/>
          <w:highlight w:val="none"/>
        </w:rPr>
        <w:t xml:space="preserve">не позднее 11 июня 2026 г.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</w:pPr>
      <w:r>
        <w:rPr>
          <w:sz w:val="28"/>
          <w:szCs w:val="28"/>
          <w:highlight w:val="none"/>
        </w:rPr>
        <w:t xml:space="preserve">- Сведения по безвозмездной передаче (получению) нефинансовых </w:t>
      </w:r>
      <w:r>
        <w:rPr>
          <w:sz w:val="28"/>
          <w:szCs w:val="28"/>
          <w:highlight w:val="none"/>
        </w:rPr>
        <w:t xml:space="preserve">активов, финансовых активов (ф.Х25 АУ БУ) (далее –ф.Х25 АУ БУ) по </w:t>
      </w:r>
      <w:r>
        <w:rPr>
          <w:sz w:val="28"/>
          <w:szCs w:val="28"/>
          <w:highlight w:val="none"/>
        </w:rPr>
        <w:t xml:space="preserve">счетам бюджетного (бухгалтерского) учета Х40110189, Х40110191,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Х40110195, Х40120241, Х40120251, Х40120254, </w:t>
      </w:r>
      <w:r>
        <w:rPr>
          <w:sz w:val="28"/>
          <w:szCs w:val="28"/>
          <w:highlight w:val="none"/>
        </w:rPr>
        <w:t xml:space="preserve">Х40120281</w:t>
      </w:r>
      <w:r>
        <w:rPr>
          <w:sz w:val="28"/>
          <w:szCs w:val="28"/>
          <w:highlight w:val="none"/>
        </w:rPr>
        <w:t xml:space="preserve"> по состоянию на 1 ноября 2026 г. 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срок </w:t>
        <w:br/>
        <w:t xml:space="preserve">не позднее 13 ноября 2026 г.</w:t>
      </w:r>
      <w:r>
        <w:rPr>
          <w:sz w:val="28"/>
          <w:szCs w:val="28"/>
          <w:highlight w:val="none"/>
        </w:rPr>
        <w:t xml:space="preserve">».</w:t>
      </w:r>
      <w:r/>
    </w:p>
    <w:p>
      <w:pPr>
        <w:pStyle w:val="873"/>
        <w:ind w:firstLine="720"/>
        <w:jc w:val="both"/>
        <w:tabs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Управлению учета и отчетности департамента финансов обеспечить составление свода и консолидации месячной бюджетной (бухгалтерской) отчетности и представление ее в Министерство финансов Пермского края </w:t>
        <w:br/>
        <w:t xml:space="preserve">в установленные им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4962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Начальнику отдела информационных систем управления расходов департамента финансов администрации города Перми Долгих С. В. обеспечить размещение на сайте департамента финансов администрации города Перми настоящего распоряжения.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73"/>
        <w:ind w:firstLine="720"/>
        <w:jc w:val="both"/>
        <w:tabs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распоряжение вступает в силу со дня подписания, начиная </w:t>
        <w:br/>
        <w:t xml:space="preserve">с представления бюджетной (бухгалтерской) отчетности за февраль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20"/>
        <w:jc w:val="both"/>
        <w:tabs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</w:r>
      <w:r>
        <w:rPr>
          <w:sz w:val="28"/>
          <w:szCs w:val="28"/>
        </w:rPr>
        <w:t xml:space="preserve">на начальника управления учета и отчетности департамента финансов администрации города Перми </w:t>
      </w:r>
      <w:r>
        <w:rPr>
          <w:sz w:val="28"/>
          <w:szCs w:val="28"/>
        </w:rPr>
        <w:t xml:space="preserve">Рыбальченко Л.В.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20"/>
        <w:jc w:val="both"/>
        <w:tabs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0"/>
        <w:jc w:val="both"/>
        <w:tabs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И.о. начальника департамента</w:t>
        <w:tab/>
        <w:tab/>
        <w:tab/>
        <w:tab/>
        <w:tab/>
        <w:tab/>
        <w:t xml:space="preserve">  Н.Г. Истомина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3"/>
    <w:next w:val="873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6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3"/>
    <w:next w:val="873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6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6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6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6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6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6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3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3"/>
    <w:next w:val="873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6"/>
    <w:link w:val="718"/>
    <w:uiPriority w:val="10"/>
    <w:rPr>
      <w:sz w:val="48"/>
      <w:szCs w:val="48"/>
    </w:rPr>
  </w:style>
  <w:style w:type="paragraph" w:styleId="720">
    <w:name w:val="Subtitle"/>
    <w:basedOn w:val="873"/>
    <w:next w:val="873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3"/>
    <w:next w:val="873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3"/>
    <w:next w:val="873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6"/>
    <w:link w:val="884"/>
    <w:uiPriority w:val="99"/>
  </w:style>
  <w:style w:type="character" w:styleId="727">
    <w:name w:val="Footer Char"/>
    <w:basedOn w:val="876"/>
    <w:link w:val="882"/>
    <w:uiPriority w:val="99"/>
  </w:style>
  <w:style w:type="character" w:styleId="728">
    <w:name w:val="Caption Char"/>
    <w:basedOn w:val="879"/>
    <w:link w:val="882"/>
    <w:uiPriority w:val="99"/>
  </w:style>
  <w:style w:type="table" w:styleId="729">
    <w:name w:val="Table Grid"/>
    <w:basedOn w:val="8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>
    <w:name w:val="Caption"/>
    <w:basedOn w:val="873"/>
    <w:next w:val="873"/>
    <w:link w:val="72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16</cp:revision>
  <dcterms:created xsi:type="dcterms:W3CDTF">2024-10-25T09:38:00Z</dcterms:created>
  <dcterms:modified xsi:type="dcterms:W3CDTF">2026-03-10T12:52:16Z</dcterms:modified>
</cp:coreProperties>
</file>